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498"/>
        <w:gridCol w:w="425"/>
        <w:gridCol w:w="5387"/>
        <w:gridCol w:w="1079"/>
        <w:gridCol w:w="1133"/>
      </w:tblGrid>
      <w:tr w:rsidR="00962878" w:rsidTr="00B927FC">
        <w:trPr>
          <w:trHeight w:val="84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pStyle w:val="Heading1"/>
              <w:spacing w:line="240" w:lineRule="auto"/>
              <w:jc w:val="center"/>
              <w:rPr>
                <w:rStyle w:val="NormalCharacter"/>
                <w:rFonts w:ascii="宋体" w:hAnsi="宋体" w:cs="宋体"/>
                <w:b/>
                <w:bCs/>
              </w:rPr>
            </w:pPr>
            <w:r>
              <w:rPr>
                <w:rStyle w:val="NormalCharacter"/>
                <w:rFonts w:ascii="宋体" w:hAnsi="宋体"/>
                <w:b/>
                <w:bCs/>
              </w:rPr>
              <w:t>巨鲨公司：4M LED</w:t>
            </w:r>
            <w:r>
              <w:rPr>
                <w:rStyle w:val="NormalCharacter"/>
                <w:rFonts w:ascii="宋体" w:hAnsi="宋体" w:cs="宋体"/>
                <w:b/>
                <w:bCs/>
              </w:rPr>
              <w:t>彩色</w:t>
            </w:r>
            <w:r>
              <w:rPr>
                <w:rStyle w:val="NormalCharacter"/>
                <w:rFonts w:ascii="宋体" w:hAnsi="宋体"/>
                <w:b/>
                <w:bCs/>
              </w:rPr>
              <w:t>CT/MR</w:t>
            </w:r>
            <w:r>
              <w:rPr>
                <w:rStyle w:val="NormalCharacter"/>
                <w:rFonts w:ascii="宋体" w:hAnsi="宋体" w:cs="宋体"/>
                <w:b/>
                <w:bCs/>
              </w:rPr>
              <w:t>专用屏（</w:t>
            </w:r>
            <w:r>
              <w:rPr>
                <w:rStyle w:val="NormalCharacter"/>
                <w:rFonts w:ascii="宋体" w:hAnsi="宋体"/>
                <w:b/>
                <w:bCs/>
              </w:rPr>
              <w:t>JUSHA-C42E</w:t>
            </w:r>
            <w:r>
              <w:rPr>
                <w:rStyle w:val="NormalCharacter"/>
                <w:rFonts w:ascii="宋体" w:hAnsi="宋体" w:cs="宋体"/>
                <w:b/>
                <w:bCs/>
              </w:rPr>
              <w:t>）</w:t>
            </w:r>
          </w:p>
          <w:p w:rsidR="00E74B16" w:rsidRPr="00E74B16" w:rsidRDefault="00E74B16" w:rsidP="00E74B1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数量：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台，预算总金额：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B0AEB" w:rsidP="009B0AEB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9B0AEB">
              <w:rPr>
                <w:rStyle w:val="NormalCharacter"/>
                <w:rFonts w:ascii="宋体" w:hAnsi="宋体"/>
                <w:sz w:val="18"/>
                <w:szCs w:val="18"/>
              </w:rPr>
              <w:t>巨鲨</w:t>
            </w:r>
            <w:r w:rsidR="0048083C">
              <w:rPr>
                <w:rStyle w:val="NormalCharacter"/>
                <w:rFonts w:ascii="宋体" w:hAnsi="宋体"/>
                <w:sz w:val="18"/>
                <w:szCs w:val="18"/>
              </w:rPr>
              <w:t>专业显示器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 w:rsidP="009B0AEB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显示器完全符合dicom3.14标准，Ins-guard系统完成自动校正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分辨率≥2560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×</w:t>
            </w:r>
            <w:r>
              <w:rPr>
                <w:rStyle w:val="NormalCharacter"/>
                <w:rFonts w:ascii="宋体" w:hAnsi="宋体"/>
                <w:sz w:val="18"/>
                <w:szCs w:val="18"/>
              </w:rPr>
              <w:t>1440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 xml:space="preserve">点距≦0.2331 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×</w:t>
            </w:r>
            <w:r>
              <w:rPr>
                <w:rStyle w:val="NormalCharacter"/>
                <w:rFonts w:ascii="宋体" w:hAnsi="宋体"/>
                <w:sz w:val="18"/>
                <w:szCs w:val="18"/>
              </w:rPr>
              <w:t xml:space="preserve"> 0.2331 mm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显示器采用新型LED背光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尺寸≧27英寸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显示器内置dicom校正曲线,另外内置DSA、DSI、CT/MRI-JS、GAMMA曲线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 w:rsidP="009B0AEB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全屏幕亮度均衡系统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 w:rsidP="00E75B84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两路信号可分别输入，在一个屏上实现双竖屏显示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最大亮度≧350cd/m²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对比度≧1000：1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 w:rsidP="00E75B84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色彩≧42bit(灰度等级≧14bit)</w:t>
            </w:r>
            <w:r w:rsidR="00E75B84">
              <w:rPr>
                <w:rStyle w:val="NormalCharacter"/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响应时间≦6ms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可视角度≧178°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E75B84" w:rsidP="00E75B84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外置医疗级电源模块，</w:t>
            </w:r>
            <w:r w:rsidR="0048083C">
              <w:rPr>
                <w:rStyle w:val="NormalCharacter"/>
                <w:rFonts w:ascii="宋体" w:hAnsi="宋体"/>
                <w:sz w:val="18"/>
                <w:szCs w:val="18"/>
              </w:rPr>
              <w:t>医疗电源UL60601-1证书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端口：DVI-D×1、DP×1、HDMI×1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支持DP环出，可将显示器画面输出到其他显示设备，并保证分辨率不低于2560×1440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可快速打开观片灯模式，方便医生查看胶片，提供“一种自动切换阅片灯模式的医用显示器”技术证明材料（技术受理通知书或技术证书）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金属外壳，强度大、散热快、抗干扰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提供双头PCIe接口专业显卡，显卡内存≧2G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62878" w:rsidTr="00AA0505">
        <w:trPr>
          <w:trHeight w:val="10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878" w:rsidRDefault="00962878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878" w:rsidRDefault="0048083C">
            <w:pP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产品获得CCC认证，获得中国节能产品认证证书（GB21520-2015）认证，投标产品为原厂生产，非OEM产品，3C认证证书上制造商名称和生产企业名称须一样。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878" w:rsidRDefault="00962878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AA0505" w:rsidTr="00E74B16">
        <w:trPr>
          <w:trHeight w:val="36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505" w:rsidRDefault="00AA0505">
            <w:pPr>
              <w:numPr>
                <w:ilvl w:val="0"/>
                <w:numId w:val="1"/>
              </w:num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505" w:rsidRDefault="00AA0505" w:rsidP="00AA0505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505" w:rsidRPr="004C4422" w:rsidRDefault="00AA0505" w:rsidP="00C4766E">
            <w:pPr>
              <w:widowControl w:val="0"/>
              <w:spacing w:line="320" w:lineRule="exact"/>
              <w:jc w:val="left"/>
              <w:rPr>
                <w:rStyle w:val="NormalCharacter"/>
                <w:rFonts w:ascii="宋体" w:hAnsi="宋体"/>
                <w:color w:val="FF0000"/>
                <w:sz w:val="24"/>
                <w:szCs w:val="22"/>
              </w:rPr>
            </w:pPr>
            <w:r w:rsidRPr="00AA0505">
              <w:rPr>
                <w:rFonts w:ascii="宋体" w:hAnsi="宋体" w:hint="eastAsia"/>
                <w:color w:val="FF0000"/>
                <w:sz w:val="24"/>
                <w:szCs w:val="22"/>
              </w:rPr>
              <w:t>售后服务：原厂整机三年保修</w:t>
            </w:r>
            <w:r w:rsidRPr="004C4422">
              <w:rPr>
                <w:rFonts w:ascii="宋体" w:hAnsi="宋体" w:hint="eastAsia"/>
                <w:color w:val="FF0000"/>
                <w:sz w:val="24"/>
              </w:rPr>
              <w:t>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505" w:rsidRDefault="00AA0505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505" w:rsidRDefault="00AA0505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E316EC" w:rsidTr="00142A40">
        <w:trPr>
          <w:trHeight w:val="102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6EC" w:rsidRDefault="00E316EC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E74B16" w:rsidTr="00D66F1F">
        <w:trPr>
          <w:trHeight w:val="36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B16" w:rsidRDefault="00E74B16" w:rsidP="00E74B16">
            <w:pPr>
              <w:jc w:val="center"/>
              <w:rPr>
                <w:b/>
              </w:rPr>
            </w:pPr>
            <w:r w:rsidRPr="00E74B16">
              <w:rPr>
                <w:b/>
              </w:rPr>
              <w:t>联想</w:t>
            </w:r>
            <w:r w:rsidRPr="00E74B16">
              <w:rPr>
                <w:b/>
              </w:rPr>
              <w:t>ThinkCentre E74</w:t>
            </w:r>
            <w:r w:rsidRPr="00E74B16">
              <w:rPr>
                <w:b/>
              </w:rPr>
              <w:t>商用办公大机箱台式机电脑</w:t>
            </w:r>
            <w:r w:rsidRPr="00E74B16">
              <w:rPr>
                <w:b/>
              </w:rPr>
              <w:t>20L</w:t>
            </w:r>
          </w:p>
          <w:p w:rsidR="0030666B" w:rsidRPr="00E74B16" w:rsidRDefault="0030666B" w:rsidP="00E74B16">
            <w:pPr>
              <w:jc w:val="center"/>
              <w:rPr>
                <w:rStyle w:val="NormalCharacter"/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（数量：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台，</w:t>
            </w:r>
            <w:r w:rsidR="005C55A9">
              <w:rPr>
                <w:rFonts w:hint="eastAsia"/>
                <w:b/>
              </w:rPr>
              <w:t>总限价</w:t>
            </w:r>
            <w:r w:rsidR="005C55A9">
              <w:rPr>
                <w:rFonts w:hint="eastAsia"/>
                <w:b/>
              </w:rPr>
              <w:t>1.7</w:t>
            </w:r>
            <w:r w:rsidR="005C55A9">
              <w:rPr>
                <w:rFonts w:hint="eastAsia"/>
                <w:b/>
              </w:rPr>
              <w:t>万元</w:t>
            </w:r>
            <w:r>
              <w:rPr>
                <w:rFonts w:hint="eastAsia"/>
                <w:b/>
              </w:rPr>
              <w:t>）</w:t>
            </w:r>
          </w:p>
        </w:tc>
      </w:tr>
      <w:tr w:rsidR="00E74B16" w:rsidTr="00AA0505">
        <w:trPr>
          <w:trHeight w:val="36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16" w:rsidRDefault="00E74B16" w:rsidP="00E74B16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16" w:rsidRDefault="00E74B16" w:rsidP="00AA0505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★操作系统</w:t>
            </w:r>
            <w:r>
              <w:rPr>
                <w:rFonts w:ascii="宋体" w:hAnsi="宋体"/>
                <w:sz w:val="24"/>
              </w:rPr>
              <w:t xml:space="preserve"> 预装Windows 10 64bit（64位简体中文版）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CPU系列 英特尔 酷睿i5 8代系列 CPU型号 Intel 酷睿i5 8500  Q370及以上主板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★内存容量</w:t>
            </w:r>
            <w:r>
              <w:rPr>
                <w:rFonts w:ascii="宋体" w:hAnsi="宋体"/>
                <w:sz w:val="24"/>
              </w:rPr>
              <w:t xml:space="preserve"> 8GB    内存类型 DDR4 2666MHz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★硬盘容量</w:t>
            </w:r>
            <w:r>
              <w:rPr>
                <w:rFonts w:ascii="宋体" w:hAnsi="宋体"/>
                <w:sz w:val="24"/>
              </w:rPr>
              <w:t xml:space="preserve"> 128GB+1TB   混合硬盘（SSD+HDD）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显卡类型</w:t>
            </w:r>
            <w:r>
              <w:rPr>
                <w:rFonts w:ascii="宋体" w:hAnsi="宋体"/>
                <w:sz w:val="24"/>
              </w:rPr>
              <w:t xml:space="preserve"> 集成显卡   有线网卡 1000Mbps以太网</w:t>
            </w:r>
            <w:r>
              <w:rPr>
                <w:rFonts w:ascii="宋体" w:hAnsi="宋体"/>
                <w:sz w:val="24"/>
              </w:rPr>
              <w:lastRenderedPageBreak/>
              <w:t>卡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数据接口</w:t>
            </w:r>
            <w:r>
              <w:rPr>
                <w:rFonts w:ascii="宋体" w:hAnsi="宋体"/>
                <w:sz w:val="24"/>
              </w:rPr>
              <w:t xml:space="preserve"> 10个USB 3.1 Gen 1接口（前置6个USB 3.1 Gen 1，后置4个USB 3.1 Gen 1）、 PS/2</w:t>
            </w:r>
            <w:r>
              <w:rPr>
                <w:rFonts w:ascii="宋体" w:hAnsi="宋体" w:hint="eastAsia"/>
                <w:sz w:val="24"/>
              </w:rPr>
              <w:t>接口</w:t>
            </w:r>
            <w:r>
              <w:rPr>
                <w:rFonts w:ascii="宋体" w:hAnsi="宋体"/>
                <w:sz w:val="24"/>
              </w:rPr>
              <w:t xml:space="preserve"> 、 串口 、 VGA+2*HDMI接口（VGA非转接）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其它接口</w:t>
            </w:r>
            <w:r>
              <w:rPr>
                <w:rFonts w:ascii="宋体" w:hAnsi="宋体"/>
                <w:sz w:val="24"/>
              </w:rPr>
              <w:t xml:space="preserve"> 2个PCI-E*16、1个PCI-E*1、1个PCI槽位；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显示器</w:t>
            </w:r>
            <w:r>
              <w:rPr>
                <w:rFonts w:ascii="宋体" w:hAnsi="宋体"/>
                <w:sz w:val="24"/>
              </w:rPr>
              <w:t xml:space="preserve"> 21.5寸LED显示器，分辨率1920x1080（16：9），亮度不低于250，对比度不低于1000:1，响应时间2ms，VGA+DVI接口， 显示器具有低蓝光护眼功能，能在普通模式和低蓝光模式之间进行切换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机箱类型:</w:t>
            </w:r>
            <w:r w:rsidR="00DC583E">
              <w:rPr>
                <w:rFonts w:ascii="宋体" w:hAnsi="宋体" w:hint="eastAsia"/>
                <w:sz w:val="24"/>
              </w:rPr>
              <w:t>大</w:t>
            </w:r>
            <w:r>
              <w:rPr>
                <w:rFonts w:ascii="宋体" w:hAnsi="宋体"/>
                <w:sz w:val="24"/>
              </w:rPr>
              <w:t>机箱，强力散热风扇，能够达到有效去除细菌、降解甲醛、净化空气的效果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DE569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整机免工具拆卸与维护，机箱</w:t>
            </w:r>
            <w:r w:rsidR="00E74B16">
              <w:rPr>
                <w:rFonts w:ascii="宋体" w:hAnsi="宋体" w:hint="eastAsia"/>
                <w:sz w:val="24"/>
              </w:rPr>
              <w:t>大于</w:t>
            </w:r>
            <w:r>
              <w:rPr>
                <w:rFonts w:ascii="宋体" w:hAnsi="宋体" w:hint="eastAsia"/>
                <w:sz w:val="24"/>
              </w:rPr>
              <w:t>等于</w:t>
            </w:r>
            <w:r w:rsidR="00E74B16">
              <w:rPr>
                <w:rFonts w:ascii="宋体" w:hAnsi="宋体"/>
                <w:sz w:val="24"/>
              </w:rPr>
              <w:t>20L，顶置提手，方便搬运，顶置电源开关键，方便使用；专用可拆卸机箱防尘罩，有效防止灰尘</w:t>
            </w:r>
            <w:r w:rsidR="00566600">
              <w:rPr>
                <w:rFonts w:ascii="宋体" w:hAnsi="宋体" w:hint="eastAsia"/>
                <w:sz w:val="24"/>
              </w:rPr>
              <w:t xml:space="preserve"> </w:t>
            </w:r>
            <w:r w:rsidR="00E74B16">
              <w:rPr>
                <w:rFonts w:ascii="宋体" w:hAnsi="宋体"/>
                <w:sz w:val="24"/>
              </w:rPr>
              <w:t>安全特性 USB屏蔽技术，仅识别USB键盘、鼠标，无法识别USB读取设备，有效防止数据泄露；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管理功能</w:t>
            </w:r>
            <w:r>
              <w:rPr>
                <w:rFonts w:ascii="宋体" w:hAnsi="宋体"/>
                <w:sz w:val="24"/>
              </w:rPr>
              <w:t xml:space="preserve"> 出厂预装正版远程管理软件（如非主机同品牌，需提供第三方至少三年的正版授权），能够实现远程桌面管理、资产监控、软件分发、行为管理、外设控制、杀毒软件管理等功能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Default="00E74B16" w:rsidP="00E74B1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电源</w:t>
            </w:r>
            <w:r>
              <w:rPr>
                <w:rFonts w:ascii="宋体" w:hAnsi="宋体"/>
                <w:sz w:val="24"/>
              </w:rPr>
              <w:t xml:space="preserve"> 400W电源适配器 </w:t>
            </w:r>
            <w:r w:rsidR="000B1AA1">
              <w:rPr>
                <w:rFonts w:ascii="宋体" w:hAnsi="宋体" w:hint="eastAsia"/>
                <w:sz w:val="24"/>
              </w:rPr>
              <w:t>；</w:t>
            </w:r>
          </w:p>
          <w:p w:rsidR="00E74B16" w:rsidRPr="00AA0505" w:rsidRDefault="00E74B16" w:rsidP="00DE5696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投标供应商需出具投标产品的配置说明函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16" w:rsidRDefault="00E74B16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B16" w:rsidRDefault="00E74B16">
            <w:pPr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</w:tbl>
    <w:p w:rsidR="00962878" w:rsidRDefault="00962878">
      <w:pPr>
        <w:rPr>
          <w:rStyle w:val="NormalCharacter"/>
        </w:rPr>
      </w:pPr>
    </w:p>
    <w:sectPr w:rsidR="00962878" w:rsidSect="00866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76" w:rsidRDefault="00B83976" w:rsidP="00AA0505">
      <w:r>
        <w:separator/>
      </w:r>
    </w:p>
  </w:endnote>
  <w:endnote w:type="continuationSeparator" w:id="1">
    <w:p w:rsidR="00B83976" w:rsidRDefault="00B83976" w:rsidP="00AA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76" w:rsidRDefault="00B83976" w:rsidP="00AA0505">
      <w:r>
        <w:separator/>
      </w:r>
    </w:p>
  </w:footnote>
  <w:footnote w:type="continuationSeparator" w:id="1">
    <w:p w:rsidR="00B83976" w:rsidRDefault="00B83976" w:rsidP="00AA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3F0"/>
    <w:multiLevelType w:val="multilevel"/>
    <w:tmpl w:val="33CB33F0"/>
    <w:lvl w:ilvl="0">
      <w:start w:val="1"/>
      <w:numFmt w:val="decimal"/>
      <w:lvlText w:val="%1"/>
      <w:lvlJc w:val="left"/>
      <w:pPr>
        <w:widowControl/>
        <w:spacing w:line="240" w:lineRule="auto"/>
        <w:ind w:left="420" w:hanging="420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962878"/>
    <w:rsid w:val="0001100A"/>
    <w:rsid w:val="000B1AA1"/>
    <w:rsid w:val="0030666B"/>
    <w:rsid w:val="0048083C"/>
    <w:rsid w:val="004C4422"/>
    <w:rsid w:val="00566600"/>
    <w:rsid w:val="005C55A9"/>
    <w:rsid w:val="00866E69"/>
    <w:rsid w:val="00935A5C"/>
    <w:rsid w:val="00941EA7"/>
    <w:rsid w:val="00962878"/>
    <w:rsid w:val="009B0AEB"/>
    <w:rsid w:val="00AA0505"/>
    <w:rsid w:val="00B83976"/>
    <w:rsid w:val="00B927FC"/>
    <w:rsid w:val="00BD09AB"/>
    <w:rsid w:val="00C4766E"/>
    <w:rsid w:val="00D33199"/>
    <w:rsid w:val="00D5371E"/>
    <w:rsid w:val="00DC583E"/>
    <w:rsid w:val="00DE5696"/>
    <w:rsid w:val="00E316EC"/>
    <w:rsid w:val="00E74B16"/>
    <w:rsid w:val="00E75B84"/>
    <w:rsid w:val="00F7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E69"/>
    <w:pPr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866E69"/>
    <w:pPr>
      <w:keepNext/>
      <w:keepLines/>
      <w:spacing w:line="578" w:lineRule="auto"/>
    </w:pPr>
    <w:rPr>
      <w:kern w:val="44"/>
      <w:sz w:val="24"/>
      <w:szCs w:val="24"/>
    </w:rPr>
  </w:style>
  <w:style w:type="character" w:customStyle="1" w:styleId="NormalCharacter">
    <w:name w:val="NormalCharacter"/>
    <w:semiHidden/>
    <w:rsid w:val="00866E69"/>
  </w:style>
  <w:style w:type="table" w:customStyle="1" w:styleId="TableNormal">
    <w:name w:val="TableNormal"/>
    <w:semiHidden/>
    <w:rsid w:val="00866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A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50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50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17</cp:revision>
  <cp:lastPrinted>2019-09-07T02:10:00Z</cp:lastPrinted>
  <dcterms:created xsi:type="dcterms:W3CDTF">2019-09-07T00:14:00Z</dcterms:created>
  <dcterms:modified xsi:type="dcterms:W3CDTF">2019-09-09T07:14:00Z</dcterms:modified>
</cp:coreProperties>
</file>