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A5" w:rsidRDefault="000329A5"/>
    <w:p w:rsidR="000329A5" w:rsidRPr="00CE2385" w:rsidRDefault="000329A5" w:rsidP="000329A5">
      <w:pPr>
        <w:spacing w:line="360" w:lineRule="auto"/>
        <w:jc w:val="center"/>
        <w:rPr>
          <w:rFonts w:asciiTheme="minorEastAsia" w:hAnsiTheme="minorEastAsia"/>
          <w:b/>
          <w:sz w:val="32"/>
          <w:szCs w:val="32"/>
        </w:rPr>
      </w:pPr>
      <w:r w:rsidRPr="00CE2385">
        <w:rPr>
          <w:rFonts w:asciiTheme="minorEastAsia" w:hAnsiTheme="minorEastAsia" w:hint="eastAsia"/>
          <w:b/>
          <w:sz w:val="32"/>
          <w:szCs w:val="32"/>
        </w:rPr>
        <w:t>空气消毒机招标参数</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消毒技术：高能粒子分子击断技术</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安装方式：天井嵌入式</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额定风量：≥800m³/h</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消毒部件功率：≤10w</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整机额定功率：≤140W</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推荐使用空间：≥100m³</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枯草杆菌芽孢杀灭率(1h)：   ≥99.90%</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白色葡萄球菌杀灭率(1h)：   ≥99.90%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长效性：连续运行180天衰减率&lt;5%</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安全性：通过动物安全性测试验证人机共存性</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颗粒物CADR：≥790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甲醛CADR：≥340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颗粒物CCM：P3</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甲醛CCM：F3</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净化效能：高效级</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适用环境：有人动态环境下医院Ⅱ类环境（微生物 ≤200cfu/m3）</w:t>
      </w:r>
    </w:p>
    <w:p w:rsidR="003A6663" w:rsidRDefault="003A6663" w:rsidP="003A6663">
      <w:pPr>
        <w:spacing w:line="360" w:lineRule="auto"/>
        <w:jc w:val="center"/>
        <w:rPr>
          <w:rFonts w:asciiTheme="minorEastAsia" w:hAnsiTheme="minorEastAsia"/>
          <w:b/>
          <w:sz w:val="24"/>
          <w:szCs w:val="24"/>
        </w:rPr>
      </w:pPr>
    </w:p>
    <w:p w:rsidR="003A6663" w:rsidRPr="003A6663" w:rsidRDefault="003A6663" w:rsidP="003A6663">
      <w:pPr>
        <w:spacing w:line="360" w:lineRule="auto"/>
        <w:jc w:val="center"/>
        <w:rPr>
          <w:rFonts w:asciiTheme="minorEastAsia" w:hAnsiTheme="minorEastAsia"/>
          <w:b/>
          <w:sz w:val="24"/>
          <w:szCs w:val="24"/>
        </w:rPr>
      </w:pPr>
      <w:r w:rsidRPr="003A6663">
        <w:rPr>
          <w:rFonts w:asciiTheme="minorEastAsia" w:hAnsiTheme="minorEastAsia" w:hint="eastAsia"/>
          <w:b/>
          <w:sz w:val="24"/>
          <w:szCs w:val="24"/>
        </w:rPr>
        <w:t>商务要求：</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保质期：整机≥2年</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消毒部件无耗材、免维护</w:t>
      </w:r>
    </w:p>
    <w:p w:rsidR="000329A5" w:rsidRDefault="000329A5" w:rsidP="000329A5">
      <w:pPr>
        <w:spacing w:line="360" w:lineRule="auto"/>
      </w:pPr>
    </w:p>
    <w:p w:rsidR="000329A5" w:rsidRP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A8419A" w:rsidRDefault="00A8419A">
      <w:r>
        <w:rPr>
          <w:rFonts w:hint="eastAsia"/>
        </w:rPr>
        <w:t>评分标准</w:t>
      </w:r>
    </w:p>
    <w:p w:rsidR="0074100B" w:rsidRDefault="0074100B"/>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730"/>
        <w:gridCol w:w="725"/>
        <w:gridCol w:w="2766"/>
        <w:gridCol w:w="2227"/>
        <w:gridCol w:w="1369"/>
      </w:tblGrid>
      <w:tr w:rsidR="0074100B" w:rsidRPr="00923AF6" w:rsidTr="00FC5883">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74100B" w:rsidRPr="00923AF6" w:rsidRDefault="0074100B" w:rsidP="00FC5883">
            <w:pPr>
              <w:wordWrap w:val="0"/>
              <w:spacing w:line="0" w:lineRule="atLeast"/>
              <w:ind w:firstLine="28"/>
              <w:rPr>
                <w:rFonts w:ascii="宋体" w:hAnsi="宋体"/>
                <w:szCs w:val="21"/>
              </w:rPr>
            </w:pPr>
            <w:r w:rsidRPr="00923AF6">
              <w:rPr>
                <w:rFonts w:ascii="宋体" w:hAnsi="宋体" w:hint="eastAsia"/>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ind w:firstLine="28"/>
              <w:jc w:val="center"/>
              <w:rPr>
                <w:rFonts w:ascii="宋体" w:hAnsi="宋体"/>
                <w:szCs w:val="21"/>
              </w:rPr>
            </w:pPr>
            <w:r w:rsidRPr="00923AF6">
              <w:rPr>
                <w:rFonts w:ascii="宋体" w:hAnsi="宋体" w:hint="eastAsia"/>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hideMark/>
          </w:tcPr>
          <w:p w:rsidR="0074100B" w:rsidRPr="00923AF6" w:rsidRDefault="0074100B" w:rsidP="00FC5883">
            <w:pPr>
              <w:wordWrap w:val="0"/>
              <w:spacing w:line="0" w:lineRule="atLeast"/>
              <w:ind w:firstLine="28"/>
              <w:jc w:val="center"/>
              <w:rPr>
                <w:rFonts w:ascii="宋体" w:hAnsi="宋体"/>
                <w:szCs w:val="21"/>
              </w:rPr>
            </w:pPr>
            <w:r w:rsidRPr="00923AF6">
              <w:rPr>
                <w:rFonts w:ascii="宋体" w:hAnsi="宋体" w:hint="eastAsia"/>
                <w:szCs w:val="21"/>
              </w:rPr>
              <w:t>分值</w:t>
            </w:r>
          </w:p>
        </w:tc>
        <w:tc>
          <w:tcPr>
            <w:tcW w:w="2766" w:type="dxa"/>
            <w:tcBorders>
              <w:top w:val="single" w:sz="4" w:space="0" w:color="auto"/>
              <w:left w:val="single" w:sz="4" w:space="0" w:color="auto"/>
              <w:bottom w:val="single" w:sz="4" w:space="0" w:color="auto"/>
              <w:right w:val="single" w:sz="4" w:space="0" w:color="auto"/>
            </w:tcBorders>
            <w:vAlign w:val="center"/>
            <w:hideMark/>
          </w:tcPr>
          <w:p w:rsidR="0074100B" w:rsidRPr="00923AF6" w:rsidRDefault="0074100B" w:rsidP="00FC5883">
            <w:pPr>
              <w:wordWrap w:val="0"/>
              <w:spacing w:line="0" w:lineRule="atLeast"/>
              <w:ind w:firstLine="28"/>
              <w:jc w:val="center"/>
              <w:rPr>
                <w:rFonts w:ascii="宋体" w:hAnsi="宋体"/>
                <w:szCs w:val="21"/>
              </w:rPr>
            </w:pPr>
            <w:r w:rsidRPr="00923AF6">
              <w:rPr>
                <w:rFonts w:ascii="宋体" w:hAnsi="宋体" w:hint="eastAsia"/>
                <w:szCs w:val="21"/>
              </w:rPr>
              <w:t>评分标准</w:t>
            </w:r>
          </w:p>
        </w:tc>
        <w:tc>
          <w:tcPr>
            <w:tcW w:w="2227" w:type="dxa"/>
            <w:tcBorders>
              <w:top w:val="single" w:sz="4" w:space="0" w:color="auto"/>
              <w:left w:val="single" w:sz="4" w:space="0" w:color="auto"/>
              <w:bottom w:val="single" w:sz="4" w:space="0" w:color="auto"/>
              <w:right w:val="single" w:sz="4" w:space="0" w:color="auto"/>
            </w:tcBorders>
            <w:vAlign w:val="center"/>
            <w:hideMark/>
          </w:tcPr>
          <w:p w:rsidR="0074100B" w:rsidRPr="00923AF6" w:rsidRDefault="0074100B" w:rsidP="00FC5883">
            <w:pPr>
              <w:wordWrap w:val="0"/>
              <w:spacing w:line="0" w:lineRule="atLeast"/>
              <w:jc w:val="center"/>
              <w:rPr>
                <w:rFonts w:ascii="宋体" w:hAnsi="宋体"/>
                <w:szCs w:val="21"/>
              </w:rPr>
            </w:pPr>
            <w:r w:rsidRPr="00923AF6">
              <w:rPr>
                <w:rFonts w:ascii="宋体" w:hAnsi="宋体" w:hint="eastAsia"/>
                <w:szCs w:val="21"/>
              </w:rPr>
              <w:t>说明</w:t>
            </w:r>
          </w:p>
        </w:tc>
        <w:tc>
          <w:tcPr>
            <w:tcW w:w="1369" w:type="dxa"/>
            <w:tcBorders>
              <w:top w:val="single" w:sz="4" w:space="0" w:color="auto"/>
              <w:left w:val="single" w:sz="4" w:space="0" w:color="auto"/>
              <w:bottom w:val="single" w:sz="4" w:space="0" w:color="auto"/>
              <w:right w:val="single" w:sz="4" w:space="0" w:color="auto"/>
            </w:tcBorders>
            <w:vAlign w:val="center"/>
            <w:hideMark/>
          </w:tcPr>
          <w:p w:rsidR="0074100B" w:rsidRPr="00923AF6" w:rsidRDefault="0074100B" w:rsidP="00FC5883">
            <w:pPr>
              <w:wordWrap w:val="0"/>
              <w:spacing w:line="0" w:lineRule="atLeast"/>
              <w:jc w:val="center"/>
              <w:rPr>
                <w:rFonts w:ascii="宋体" w:hAnsi="宋体"/>
                <w:szCs w:val="21"/>
              </w:rPr>
            </w:pPr>
            <w:r w:rsidRPr="00923AF6">
              <w:rPr>
                <w:rFonts w:ascii="宋体" w:hAnsi="宋体" w:hint="eastAsia"/>
                <w:szCs w:val="21"/>
              </w:rPr>
              <w:t>评分因素类别</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bCs/>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报价40%</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4</w:t>
            </w:r>
            <w:r>
              <w:rPr>
                <w:rFonts w:ascii="宋体" w:hAnsi="宋体"/>
                <w:bCs/>
                <w:szCs w:val="21"/>
              </w:rPr>
              <w:t>0</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rPr>
                <w:rFonts w:ascii="宋体" w:hAnsi="宋体"/>
                <w:szCs w:val="21"/>
              </w:rPr>
            </w:pPr>
            <w:r>
              <w:rPr>
                <w:rFonts w:ascii="宋体" w:hAnsi="宋体" w:hint="eastAsia"/>
                <w:szCs w:val="21"/>
              </w:rPr>
              <w:t>投标人有效报价中的最低报价为评标基准价，按照下列公式计算每个投标人的投标价格得分。公式：投标报价得分＝（评标基准价</w:t>
            </w:r>
            <w:r>
              <w:rPr>
                <w:rFonts w:ascii="宋体" w:hAnsi="宋体"/>
                <w:szCs w:val="21"/>
              </w:rPr>
              <w:t>/投标报价）×</w:t>
            </w:r>
            <w:r>
              <w:rPr>
                <w:rFonts w:ascii="宋体" w:hAnsi="宋体" w:hint="eastAsia"/>
                <w:szCs w:val="21"/>
              </w:rPr>
              <w:t>评分权重</w:t>
            </w:r>
            <w:r>
              <w:rPr>
                <w:rFonts w:ascii="宋体" w:hAnsi="宋体"/>
                <w:szCs w:val="21"/>
              </w:rPr>
              <w:t>×</w:t>
            </w:r>
            <w:r>
              <w:rPr>
                <w:rFonts w:ascii="宋体" w:hAnsi="宋体" w:hint="eastAsia"/>
                <w:szCs w:val="21"/>
              </w:rPr>
              <w:t>100</w:t>
            </w:r>
            <w:r>
              <w:rPr>
                <w:rFonts w:ascii="宋体" w:hAnsi="宋体"/>
                <w:szCs w:val="21"/>
              </w:rPr>
              <w:t>。</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共同评分因素</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bCs/>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技术35%</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35</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Default="0074100B" w:rsidP="00FC5883">
            <w:pPr>
              <w:wordWrap w:val="0"/>
              <w:spacing w:line="0" w:lineRule="atLeast"/>
              <w:rPr>
                <w:rFonts w:ascii="宋体" w:hAnsi="宋体"/>
                <w:szCs w:val="21"/>
              </w:rPr>
            </w:pPr>
            <w:r>
              <w:rPr>
                <w:rFonts w:ascii="宋体" w:hAnsi="宋体"/>
                <w:szCs w:val="21"/>
              </w:rPr>
              <w:t>1、投标文件完全响应招标文件要求，没有实质性负偏离的得基本分</w:t>
            </w:r>
            <w:r w:rsidRPr="00E11F5D">
              <w:rPr>
                <w:rFonts w:ascii="宋体" w:hAnsi="宋体" w:hint="eastAsia"/>
                <w:szCs w:val="21"/>
              </w:rPr>
              <w:t>2</w:t>
            </w:r>
            <w:r>
              <w:rPr>
                <w:rFonts w:ascii="宋体" w:hAnsi="宋体" w:hint="eastAsia"/>
                <w:szCs w:val="21"/>
              </w:rPr>
              <w:t>0</w:t>
            </w:r>
            <w:r>
              <w:rPr>
                <w:rFonts w:ascii="宋体" w:hAnsi="宋体"/>
                <w:szCs w:val="21"/>
              </w:rPr>
              <w:t xml:space="preserve">分； </w:t>
            </w:r>
          </w:p>
          <w:p w:rsidR="0074100B" w:rsidRDefault="0074100B" w:rsidP="00FC5883">
            <w:pPr>
              <w:wordWrap w:val="0"/>
              <w:spacing w:line="0" w:lineRule="atLeast"/>
              <w:rPr>
                <w:rFonts w:ascii="宋体" w:hAnsi="宋体"/>
                <w:szCs w:val="21"/>
              </w:rPr>
            </w:pPr>
            <w:r>
              <w:rPr>
                <w:rFonts w:ascii="宋体" w:hAnsi="宋体"/>
                <w:szCs w:val="21"/>
              </w:rPr>
              <w:t>2、主要产品技术指标和性能高于基本招标要求并体现出产品的质量和性能更优的可视情况</w:t>
            </w:r>
            <w:r>
              <w:rPr>
                <w:rFonts w:ascii="宋体" w:hAnsi="宋体" w:hint="eastAsia"/>
                <w:szCs w:val="21"/>
              </w:rPr>
              <w:t>，在1-15分以内加分；</w:t>
            </w:r>
          </w:p>
          <w:p w:rsidR="0074100B" w:rsidRPr="00923AF6" w:rsidRDefault="0074100B" w:rsidP="00FC5883">
            <w:pPr>
              <w:wordWrap w:val="0"/>
              <w:spacing w:line="0" w:lineRule="atLeast"/>
              <w:rPr>
                <w:rFonts w:ascii="宋体" w:hAnsi="宋体"/>
                <w:szCs w:val="21"/>
              </w:rPr>
            </w:pPr>
            <w:r>
              <w:rPr>
                <w:rFonts w:ascii="宋体" w:hAnsi="宋体"/>
                <w:szCs w:val="21"/>
              </w:rPr>
              <w:t>3、所提供的主要设备的</w:t>
            </w:r>
            <w:r w:rsidR="00932BC6">
              <w:rPr>
                <w:rFonts w:asciiTheme="minorEastAsia" w:hAnsiTheme="minorEastAsia" w:hint="eastAsia"/>
                <w:sz w:val="24"/>
                <w:szCs w:val="24"/>
              </w:rPr>
              <w:t>△</w:t>
            </w:r>
            <w:r>
              <w:rPr>
                <w:rFonts w:ascii="宋体" w:hAnsi="宋体"/>
                <w:szCs w:val="21"/>
              </w:rPr>
              <w:t>部分存在负偏离，每项扣3分；非</w:t>
            </w:r>
            <w:r w:rsidR="00932BC6">
              <w:rPr>
                <w:rFonts w:asciiTheme="minorEastAsia" w:hAnsiTheme="minorEastAsia" w:hint="eastAsia"/>
                <w:sz w:val="24"/>
                <w:szCs w:val="24"/>
              </w:rPr>
              <w:t>△</w:t>
            </w:r>
            <w:r>
              <w:rPr>
                <w:rFonts w:ascii="宋体" w:hAnsi="宋体"/>
                <w:szCs w:val="21"/>
              </w:rPr>
              <w:t>部分存在负偏离，每一项负偏离扣基础分1分，扣完为止。</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提供产品技术说明资料</w:t>
            </w: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技术类评分因素</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spacing w:line="0" w:lineRule="atLeast"/>
              <w:jc w:val="center"/>
              <w:rPr>
                <w:rFonts w:ascii="宋体" w:hAnsi="宋体"/>
                <w:bCs/>
                <w:szCs w:val="21"/>
              </w:rPr>
            </w:pPr>
            <w:r>
              <w:rPr>
                <w:rFonts w:ascii="宋体" w:hAnsi="宋体"/>
                <w:bCs/>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spacing w:line="0" w:lineRule="atLeast"/>
              <w:jc w:val="center"/>
              <w:rPr>
                <w:rFonts w:ascii="宋体" w:hAnsi="宋体"/>
                <w:bCs/>
                <w:szCs w:val="21"/>
              </w:rPr>
            </w:pPr>
            <w:r>
              <w:rPr>
                <w:rFonts w:ascii="宋体" w:hAnsi="宋体" w:hint="eastAsia"/>
                <w:bCs/>
                <w:szCs w:val="21"/>
              </w:rPr>
              <w:t>方案8%</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spacing w:line="0" w:lineRule="atLeast"/>
              <w:jc w:val="center"/>
              <w:rPr>
                <w:rFonts w:ascii="宋体" w:hAnsi="宋体"/>
                <w:bCs/>
                <w:szCs w:val="21"/>
              </w:rPr>
            </w:pPr>
            <w:r>
              <w:rPr>
                <w:rFonts w:ascii="宋体" w:hAnsi="宋体" w:hint="eastAsia"/>
                <w:bCs/>
                <w:szCs w:val="21"/>
              </w:rPr>
              <w:t>8</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spacing w:line="0" w:lineRule="atLeast"/>
              <w:rPr>
                <w:rFonts w:ascii="宋体" w:hAnsi="宋体"/>
                <w:szCs w:val="21"/>
              </w:rPr>
            </w:pPr>
            <w:r>
              <w:rPr>
                <w:rFonts w:ascii="宋体" w:hAnsi="宋体" w:hint="eastAsia"/>
                <w:szCs w:val="21"/>
              </w:rPr>
              <w:t>针对本项目有完整的实施方案，优秀得6-8分，良得3-5</w:t>
            </w:r>
            <w:r>
              <w:rPr>
                <w:rFonts w:ascii="宋体" w:hAnsi="宋体"/>
                <w:szCs w:val="21"/>
              </w:rPr>
              <w:t>分，一般得1</w:t>
            </w:r>
            <w:r>
              <w:rPr>
                <w:rFonts w:ascii="宋体" w:hAnsi="宋体" w:hint="eastAsia"/>
                <w:szCs w:val="21"/>
              </w:rPr>
              <w:t>-2</w:t>
            </w:r>
            <w:r>
              <w:rPr>
                <w:rFonts w:ascii="宋体" w:hAnsi="宋体"/>
                <w:szCs w:val="21"/>
              </w:rPr>
              <w:t>分，差或者不提供不得分。</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D33DEE" w:rsidRDefault="0074100B" w:rsidP="00FC5883">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spacing w:line="0" w:lineRule="atLeast"/>
              <w:jc w:val="center"/>
              <w:rPr>
                <w:rFonts w:ascii="宋体" w:hAnsi="宋体"/>
                <w:szCs w:val="21"/>
              </w:rPr>
            </w:pPr>
            <w:r>
              <w:rPr>
                <w:rFonts w:ascii="宋体" w:hAnsi="宋体" w:hint="eastAsia"/>
                <w:szCs w:val="21"/>
              </w:rPr>
              <w:t>技术类评分因素</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投标人业绩5%</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5</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rPr>
                <w:rFonts w:ascii="宋体" w:hAnsi="宋体"/>
                <w:szCs w:val="21"/>
              </w:rPr>
            </w:pPr>
            <w:r>
              <w:rPr>
                <w:rFonts w:ascii="宋体" w:hAnsi="宋体" w:hint="eastAsia"/>
                <w:szCs w:val="21"/>
              </w:rPr>
              <w:t>提供本公司本次投标产品近一</w:t>
            </w:r>
            <w:r>
              <w:rPr>
                <w:rFonts w:ascii="宋体" w:hAnsi="宋体"/>
                <w:szCs w:val="21"/>
              </w:rPr>
              <w:t>年以来</w:t>
            </w:r>
            <w:r>
              <w:rPr>
                <w:rFonts w:ascii="宋体" w:hAnsi="宋体" w:hint="eastAsia"/>
                <w:szCs w:val="21"/>
              </w:rPr>
              <w:t>销售</w:t>
            </w:r>
            <w:r>
              <w:rPr>
                <w:rFonts w:ascii="宋体" w:hAnsi="宋体"/>
                <w:szCs w:val="21"/>
              </w:rPr>
              <w:t>业绩</w:t>
            </w:r>
            <w:r>
              <w:rPr>
                <w:rFonts w:ascii="宋体" w:hAnsi="宋体" w:hint="eastAsia"/>
                <w:szCs w:val="21"/>
              </w:rPr>
              <w:t>（以合同或销售发票为准）</w:t>
            </w:r>
            <w:r>
              <w:rPr>
                <w:rFonts w:ascii="宋体" w:hAnsi="宋体"/>
                <w:szCs w:val="21"/>
              </w:rPr>
              <w:t>得1分，最高得</w:t>
            </w:r>
            <w:r>
              <w:rPr>
                <w:rFonts w:ascii="宋体" w:hAnsi="宋体" w:hint="eastAsia"/>
                <w:szCs w:val="21"/>
              </w:rPr>
              <w:t>5分，</w:t>
            </w:r>
            <w:r>
              <w:rPr>
                <w:rFonts w:ascii="宋体" w:hAnsi="宋体"/>
                <w:szCs w:val="21"/>
              </w:rPr>
              <w:t>可并列，无业绩或不提供业绩者得0分。</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提供销售发票或采购合同复印件</w:t>
            </w:r>
            <w:r>
              <w:rPr>
                <w:rFonts w:ascii="宋体" w:hAnsi="宋体"/>
                <w:szCs w:val="21"/>
              </w:rPr>
              <w:t>。</w:t>
            </w: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技术类评分因素</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售后服务10%</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10</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Pr="00091958" w:rsidRDefault="0074100B" w:rsidP="00FC5883">
            <w:pPr>
              <w:wordWrap w:val="0"/>
              <w:spacing w:line="0" w:lineRule="atLeast"/>
              <w:rPr>
                <w:rFonts w:asciiTheme="minorEastAsia" w:hAnsiTheme="minorEastAsia"/>
                <w:szCs w:val="21"/>
              </w:rPr>
            </w:pPr>
            <w:r w:rsidRPr="00091958">
              <w:rPr>
                <w:rFonts w:asciiTheme="minorEastAsia" w:hAnsiTheme="minorEastAsia" w:cs="宋体" w:hint="eastAsia"/>
                <w:color w:val="000000"/>
                <w:kern w:val="0"/>
                <w:szCs w:val="21"/>
              </w:rPr>
              <w:t>完全满足招标文件要求的得</w:t>
            </w:r>
            <w:r w:rsidR="008F7852">
              <w:rPr>
                <w:rFonts w:asciiTheme="minorEastAsia" w:hAnsiTheme="minorEastAsia" w:cs="宋体" w:hint="eastAsia"/>
                <w:color w:val="000000"/>
                <w:kern w:val="0"/>
                <w:szCs w:val="21"/>
              </w:rPr>
              <w:t>6</w:t>
            </w:r>
            <w:r w:rsidRPr="00091958">
              <w:rPr>
                <w:rFonts w:asciiTheme="minorEastAsia" w:hAnsiTheme="minorEastAsia" w:cs="宋体" w:hint="eastAsia"/>
                <w:color w:val="000000"/>
                <w:kern w:val="0"/>
                <w:szCs w:val="21"/>
              </w:rPr>
              <w:t>分；优于招标文件要求的，每一项加</w:t>
            </w:r>
            <w:r>
              <w:rPr>
                <w:rFonts w:asciiTheme="minorEastAsia" w:hAnsiTheme="minorEastAsia" w:cs="宋体" w:hint="eastAsia"/>
                <w:color w:val="000000"/>
                <w:kern w:val="0"/>
                <w:szCs w:val="21"/>
              </w:rPr>
              <w:t>1</w:t>
            </w:r>
            <w:r w:rsidRPr="00091958">
              <w:rPr>
                <w:rFonts w:asciiTheme="minorEastAsia" w:hAnsiTheme="minorEastAsia" w:cs="宋体" w:hint="eastAsia"/>
                <w:color w:val="000000"/>
                <w:kern w:val="0"/>
                <w:szCs w:val="21"/>
              </w:rPr>
              <w:t>分，最多加</w:t>
            </w:r>
            <w:r>
              <w:rPr>
                <w:rFonts w:asciiTheme="minorEastAsia" w:hAnsiTheme="minorEastAsia" w:cs="宋体" w:hint="eastAsia"/>
                <w:color w:val="000000"/>
                <w:kern w:val="0"/>
                <w:szCs w:val="21"/>
              </w:rPr>
              <w:t>4</w:t>
            </w:r>
            <w:r w:rsidRPr="00091958">
              <w:rPr>
                <w:rFonts w:asciiTheme="minorEastAsia" w:hAnsiTheme="minorEastAsia" w:cs="宋体" w:hint="eastAsia"/>
                <w:color w:val="000000"/>
                <w:kern w:val="0"/>
                <w:szCs w:val="21"/>
              </w:rPr>
              <w:t>分；与招标文件要求有非实质性负偏离的，一项扣1分</w:t>
            </w:r>
            <w:r>
              <w:rPr>
                <w:rFonts w:asciiTheme="minorEastAsia" w:hAnsiTheme="minorEastAsia" w:cs="宋体" w:hint="eastAsia"/>
                <w:color w:val="000000"/>
                <w:kern w:val="0"/>
                <w:szCs w:val="21"/>
              </w:rPr>
              <w:t>,扣完为止。</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2B450B" w:rsidRDefault="0074100B" w:rsidP="00FC5883">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共同评分因素</w:t>
            </w:r>
          </w:p>
        </w:tc>
      </w:tr>
      <w:tr w:rsidR="0074100B" w:rsidRPr="00923AF6" w:rsidTr="00FC588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6</w:t>
            </w:r>
          </w:p>
        </w:tc>
        <w:tc>
          <w:tcPr>
            <w:tcW w:w="1730"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hint="eastAsia"/>
                <w:bCs/>
                <w:szCs w:val="21"/>
              </w:rPr>
              <w:t>投标文件的规范性2%</w:t>
            </w:r>
          </w:p>
        </w:tc>
        <w:tc>
          <w:tcPr>
            <w:tcW w:w="725"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bCs/>
                <w:szCs w:val="21"/>
              </w:rPr>
            </w:pPr>
            <w:r>
              <w:rPr>
                <w:rFonts w:ascii="宋体" w:hAnsi="宋体"/>
                <w:bCs/>
                <w:szCs w:val="21"/>
              </w:rPr>
              <w:t>2</w:t>
            </w:r>
          </w:p>
        </w:tc>
        <w:tc>
          <w:tcPr>
            <w:tcW w:w="2766"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rPr>
                <w:rFonts w:ascii="宋体" w:hAnsi="宋体"/>
                <w:szCs w:val="21"/>
              </w:rPr>
            </w:pPr>
            <w:r>
              <w:rPr>
                <w:rFonts w:ascii="宋体" w:hAnsi="宋体" w:hint="eastAsia"/>
                <w:szCs w:val="21"/>
              </w:rPr>
              <w:t>投标文件制作规范，没有细微偏差情形的得</w:t>
            </w:r>
            <w:r>
              <w:rPr>
                <w:rFonts w:ascii="宋体" w:hAnsi="宋体"/>
                <w:szCs w:val="21"/>
              </w:rPr>
              <w:t>2分；有一项细微偏差扣0.</w:t>
            </w:r>
            <w:r>
              <w:rPr>
                <w:rFonts w:ascii="宋体" w:hAnsi="宋体" w:hint="eastAsia"/>
                <w:szCs w:val="21"/>
              </w:rPr>
              <w:t>5</w:t>
            </w:r>
            <w:r>
              <w:rPr>
                <w:rFonts w:ascii="宋体" w:hAnsi="宋体"/>
                <w:szCs w:val="21"/>
              </w:rPr>
              <w:t>分，直至该项分值扣完为止。</w:t>
            </w:r>
          </w:p>
        </w:tc>
        <w:tc>
          <w:tcPr>
            <w:tcW w:w="2227"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74100B" w:rsidRPr="00923AF6" w:rsidRDefault="0074100B" w:rsidP="00FC5883">
            <w:pPr>
              <w:wordWrap w:val="0"/>
              <w:spacing w:line="0" w:lineRule="atLeast"/>
              <w:jc w:val="center"/>
              <w:rPr>
                <w:rFonts w:ascii="宋体" w:hAnsi="宋体"/>
                <w:szCs w:val="21"/>
              </w:rPr>
            </w:pPr>
            <w:r>
              <w:rPr>
                <w:rFonts w:ascii="宋体" w:hAnsi="宋体" w:hint="eastAsia"/>
                <w:szCs w:val="21"/>
              </w:rPr>
              <w:t>共同评分因素</w:t>
            </w:r>
          </w:p>
        </w:tc>
      </w:tr>
    </w:tbl>
    <w:p w:rsidR="0074100B" w:rsidRPr="00A8419A" w:rsidRDefault="0074100B"/>
    <w:sectPr w:rsidR="0074100B" w:rsidRPr="00A8419A" w:rsidSect="00FB4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28" w:rsidRDefault="00313C28" w:rsidP="00A8419A">
      <w:r>
        <w:separator/>
      </w:r>
    </w:p>
  </w:endnote>
  <w:endnote w:type="continuationSeparator" w:id="1">
    <w:p w:rsidR="00313C28" w:rsidRDefault="00313C28" w:rsidP="00A84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28" w:rsidRDefault="00313C28" w:rsidP="00A8419A">
      <w:r>
        <w:separator/>
      </w:r>
    </w:p>
  </w:footnote>
  <w:footnote w:type="continuationSeparator" w:id="1">
    <w:p w:rsidR="00313C28" w:rsidRDefault="00313C28" w:rsidP="00A84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19A"/>
    <w:rsid w:val="000329A5"/>
    <w:rsid w:val="00103113"/>
    <w:rsid w:val="00313C28"/>
    <w:rsid w:val="003944A6"/>
    <w:rsid w:val="003A6663"/>
    <w:rsid w:val="00637858"/>
    <w:rsid w:val="00707A8A"/>
    <w:rsid w:val="0074100B"/>
    <w:rsid w:val="00806461"/>
    <w:rsid w:val="008372DD"/>
    <w:rsid w:val="008F7852"/>
    <w:rsid w:val="00914AB8"/>
    <w:rsid w:val="00932BC6"/>
    <w:rsid w:val="009E0F82"/>
    <w:rsid w:val="00A8419A"/>
    <w:rsid w:val="00A92B4F"/>
    <w:rsid w:val="00C2697A"/>
    <w:rsid w:val="00C54071"/>
    <w:rsid w:val="00C602D1"/>
    <w:rsid w:val="00DA4CA3"/>
    <w:rsid w:val="00E854A2"/>
    <w:rsid w:val="00F50DFC"/>
    <w:rsid w:val="00FB416A"/>
    <w:rsid w:val="00FC24E6"/>
    <w:rsid w:val="00FC5A8F"/>
    <w:rsid w:val="00FE2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19A"/>
    <w:rPr>
      <w:sz w:val="18"/>
      <w:szCs w:val="18"/>
    </w:rPr>
  </w:style>
  <w:style w:type="paragraph" w:styleId="a4">
    <w:name w:val="footer"/>
    <w:basedOn w:val="a"/>
    <w:link w:val="Char0"/>
    <w:uiPriority w:val="99"/>
    <w:semiHidden/>
    <w:unhideWhenUsed/>
    <w:rsid w:val="00A84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1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141</Words>
  <Characters>806</Characters>
  <Application>Microsoft Office Word</Application>
  <DocSecurity>0</DocSecurity>
  <Lines>6</Lines>
  <Paragraphs>1</Paragraphs>
  <ScaleCrop>false</ScaleCrop>
  <Company>Lenovo</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2020-09-17T07:07:00Z</dcterms:created>
  <dcterms:modified xsi:type="dcterms:W3CDTF">2020-11-02T01:56:00Z</dcterms:modified>
</cp:coreProperties>
</file>