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24"/>
          <w:bdr w:val="single" w:color="auto" w:sz="4" w:space="0"/>
        </w:rPr>
      </w:pPr>
    </w:p>
    <w:p>
      <w:pPr>
        <w:rPr>
          <w:rFonts w:ascii="宋体" w:hAnsi="宋体"/>
          <w:color w:val="000000"/>
          <w:sz w:val="24"/>
          <w:bdr w:val="single" w:color="auto" w:sz="4" w:space="0"/>
        </w:rPr>
      </w:pPr>
    </w:p>
    <w:p>
      <w:pPr>
        <w:rPr>
          <w:rFonts w:ascii="宋体" w:hAnsi="宋体"/>
          <w:b/>
          <w:color w:val="000000"/>
        </w:rPr>
      </w:pPr>
    </w:p>
    <w:p>
      <w:pPr>
        <w:jc w:val="center"/>
        <w:rPr>
          <w:rFonts w:ascii="宋体" w:hAnsi="宋体"/>
          <w:b/>
          <w:color w:val="000000"/>
          <w:sz w:val="72"/>
        </w:rPr>
      </w:pPr>
    </w:p>
    <w:p>
      <w:pPr>
        <w:jc w:val="center"/>
        <w:rPr>
          <w:rFonts w:ascii="宋体" w:hAnsi="宋体"/>
          <w:b/>
          <w:color w:val="FF0000"/>
          <w:spacing w:val="-30"/>
          <w:sz w:val="72"/>
          <w:szCs w:val="72"/>
        </w:rPr>
      </w:pPr>
      <w:r>
        <w:rPr>
          <w:rFonts w:hint="eastAsia" w:ascii="宋体" w:hAnsi="宋体"/>
          <w:b/>
          <w:color w:val="FF0000"/>
          <w:spacing w:val="-30"/>
          <w:sz w:val="72"/>
          <w:szCs w:val="72"/>
        </w:rPr>
        <w:t>绵阳市中医医院</w:t>
      </w:r>
    </w:p>
    <w:p>
      <w:pPr>
        <w:jc w:val="center"/>
        <w:rPr>
          <w:rFonts w:ascii="宋体" w:hAnsi="宋体"/>
          <w:b/>
          <w:color w:val="000000"/>
          <w:sz w:val="52"/>
          <w:szCs w:val="52"/>
        </w:rPr>
      </w:pPr>
    </w:p>
    <w:p>
      <w:pPr>
        <w:jc w:val="center"/>
        <w:rPr>
          <w:rFonts w:ascii="宋体" w:hAnsi="宋体"/>
          <w:b/>
          <w:color w:val="FF0000"/>
          <w:spacing w:val="-30"/>
          <w:sz w:val="72"/>
          <w:szCs w:val="72"/>
        </w:rPr>
      </w:pPr>
      <w:r>
        <w:rPr>
          <w:rFonts w:hint="eastAsia" w:ascii="宋体" w:hAnsi="宋体"/>
          <w:b/>
          <w:color w:val="FF0000"/>
          <w:spacing w:val="-30"/>
          <w:sz w:val="72"/>
          <w:szCs w:val="72"/>
        </w:rPr>
        <w:t>竞争性磋商文件</w:t>
      </w:r>
    </w:p>
    <w:p>
      <w:pPr>
        <w:jc w:val="center"/>
        <w:rPr>
          <w:rFonts w:ascii="宋体" w:hAnsi="宋体"/>
          <w:b/>
          <w:color w:val="000000"/>
          <w:sz w:val="72"/>
        </w:rPr>
      </w:pPr>
    </w:p>
    <w:p>
      <w:pPr>
        <w:rPr>
          <w:rFonts w:ascii="宋体" w:hAnsi="宋体"/>
          <w:color w:val="000000"/>
          <w:sz w:val="36"/>
          <w:szCs w:val="36"/>
        </w:rPr>
      </w:pPr>
      <w:r>
        <w:rPr>
          <w:rFonts w:hint="eastAsia" w:ascii="宋体" w:hAnsi="宋体"/>
          <w:color w:val="000000"/>
          <w:sz w:val="36"/>
        </w:rPr>
        <w:t xml:space="preserve">    　　　  编号：</w:t>
      </w:r>
      <w:r>
        <w:rPr>
          <w:rFonts w:hint="eastAsia" w:ascii="宋体" w:hAnsi="宋体"/>
          <w:color w:val="000000"/>
          <w:sz w:val="36"/>
          <w:u w:val="single"/>
        </w:rPr>
        <w:t xml:space="preserve">     MYZYYY竞磋（2024）009号</w:t>
      </w:r>
      <w:r>
        <w:rPr>
          <w:rFonts w:hint="eastAsia" w:ascii="宋体" w:hAnsi="宋体"/>
          <w:color w:val="000000"/>
          <w:sz w:val="36"/>
          <w:szCs w:val="36"/>
          <w:u w:val="single"/>
        </w:rPr>
        <w:t xml:space="preserve">   </w:t>
      </w:r>
    </w:p>
    <w:p>
      <w:pPr>
        <w:ind w:left="3247" w:leftChars="1032" w:hanging="1080" w:hangingChars="300"/>
        <w:rPr>
          <w:rFonts w:ascii="宋体" w:hAnsi="宋体"/>
          <w:color w:val="000000"/>
          <w:sz w:val="36"/>
          <w:szCs w:val="36"/>
          <w:u w:val="single"/>
        </w:rPr>
      </w:pPr>
      <w:r>
        <w:rPr>
          <w:rFonts w:hint="eastAsia" w:ascii="宋体" w:hAnsi="宋体"/>
          <w:bCs/>
          <w:color w:val="000000"/>
          <w:sz w:val="36"/>
        </w:rPr>
        <w:t>项目：</w:t>
      </w:r>
      <w:r>
        <w:rPr>
          <w:rFonts w:hint="eastAsia" w:ascii="宋体" w:hAnsi="宋体"/>
          <w:color w:val="000000"/>
          <w:sz w:val="36"/>
          <w:szCs w:val="36"/>
          <w:u w:val="single"/>
        </w:rPr>
        <w:t xml:space="preserve"> </w:t>
      </w:r>
      <w:r>
        <w:rPr>
          <w:rFonts w:hint="eastAsia" w:ascii="宋体" w:hAnsi="宋体"/>
          <w:color w:val="000000"/>
          <w:sz w:val="36"/>
          <w:u w:val="single"/>
        </w:rPr>
        <w:t xml:space="preserve">绵阳市中医医院中医传承项目配套设备项目政府专项债券“一案两书”编制咨询服务项目     </w:t>
      </w: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jc w:val="center"/>
        <w:rPr>
          <w:rFonts w:ascii="宋体" w:hAnsi="宋体"/>
          <w:b/>
          <w:color w:val="000000"/>
          <w:sz w:val="36"/>
        </w:rPr>
      </w:pPr>
    </w:p>
    <w:p>
      <w:pPr>
        <w:rPr>
          <w:rFonts w:ascii="宋体" w:hAnsi="宋体"/>
          <w:b/>
          <w:color w:val="000000"/>
          <w:sz w:val="36"/>
        </w:rPr>
      </w:pPr>
    </w:p>
    <w:p>
      <w:pPr>
        <w:jc w:val="center"/>
        <w:rPr>
          <w:rFonts w:ascii="宋体" w:hAnsi="宋体"/>
          <w:color w:val="000000"/>
          <w:sz w:val="36"/>
          <w:u w:val="single"/>
        </w:rPr>
      </w:pPr>
    </w:p>
    <w:p>
      <w:pPr>
        <w:jc w:val="center"/>
        <w:rPr>
          <w:rFonts w:ascii="宋体" w:hAnsi="宋体"/>
          <w:color w:val="000000"/>
          <w:sz w:val="36"/>
        </w:rPr>
      </w:pPr>
      <w:r>
        <w:rPr>
          <w:rFonts w:hint="eastAsia" w:ascii="宋体" w:hAnsi="宋体"/>
          <w:color w:val="000000"/>
          <w:sz w:val="36"/>
          <w:u w:val="single"/>
        </w:rPr>
        <w:t>2024</w:t>
      </w:r>
      <w:r>
        <w:rPr>
          <w:rFonts w:hint="eastAsia" w:ascii="宋体" w:hAnsi="宋体"/>
          <w:color w:val="000000"/>
          <w:sz w:val="36"/>
        </w:rPr>
        <w:t>年</w:t>
      </w:r>
      <w:r>
        <w:rPr>
          <w:rFonts w:hint="eastAsia" w:ascii="宋体" w:hAnsi="宋体"/>
          <w:color w:val="000000"/>
          <w:sz w:val="36"/>
          <w:u w:val="single"/>
        </w:rPr>
        <w:t>03</w:t>
      </w:r>
      <w:r>
        <w:rPr>
          <w:rFonts w:hint="eastAsia" w:ascii="宋体" w:hAnsi="宋体"/>
          <w:color w:val="000000"/>
          <w:sz w:val="36"/>
        </w:rPr>
        <w:t>月</w:t>
      </w:r>
    </w:p>
    <w:p>
      <w:pPr>
        <w:pStyle w:val="3"/>
        <w:spacing w:line="415" w:lineRule="auto"/>
        <w:rPr>
          <w:rFonts w:ascii="宋体" w:hAnsi="宋体" w:eastAsia="宋体"/>
          <w:color w:val="000000"/>
          <w:sz w:val="36"/>
          <w:szCs w:val="36"/>
        </w:rPr>
      </w:pPr>
      <w:bookmarkStart w:id="0" w:name="_Toc409689464"/>
      <w:bookmarkStart w:id="1" w:name="_Toc414449924"/>
      <w:r>
        <w:rPr>
          <w:rFonts w:hint="eastAsia" w:ascii="宋体" w:hAnsi="宋体" w:eastAsia="宋体"/>
          <w:color w:val="000000"/>
          <w:sz w:val="36"/>
          <w:szCs w:val="36"/>
        </w:rPr>
        <w:t>第一章  竞争性磋商邀请</w:t>
      </w:r>
      <w:bookmarkEnd w:id="0"/>
      <w:bookmarkEnd w:id="1"/>
    </w:p>
    <w:p>
      <w:pPr>
        <w:widowControl/>
        <w:shd w:val="clear" w:color="auto" w:fill="FFFFFF"/>
        <w:spacing w:line="360" w:lineRule="exact"/>
        <w:ind w:firstLine="420"/>
        <w:jc w:val="left"/>
        <w:rPr>
          <w:sz w:val="24"/>
          <w:szCs w:val="24"/>
        </w:rPr>
      </w:pPr>
      <w:r>
        <w:rPr>
          <w:rFonts w:hint="eastAsia"/>
          <w:sz w:val="24"/>
          <w:szCs w:val="24"/>
        </w:rPr>
        <w:t>根据医院业务需要，我院拟采用</w:t>
      </w:r>
      <w:r>
        <w:rPr>
          <w:rFonts w:hint="eastAsia"/>
          <w:b/>
          <w:sz w:val="24"/>
          <w:szCs w:val="24"/>
          <w:u w:val="single"/>
        </w:rPr>
        <w:t>竞争性磋商的方式</w:t>
      </w:r>
      <w:r>
        <w:rPr>
          <w:rFonts w:hint="eastAsia"/>
          <w:sz w:val="24"/>
          <w:szCs w:val="24"/>
        </w:rPr>
        <w:t>采购我院中医传承项目配套设备项目政府专项债券“一案两书”编制咨询服务项目，具体事宜如下：</w:t>
      </w:r>
    </w:p>
    <w:p>
      <w:pPr>
        <w:widowControl/>
        <w:shd w:val="clear" w:color="auto" w:fill="FFFFFF"/>
        <w:spacing w:line="360" w:lineRule="exact"/>
        <w:jc w:val="left"/>
        <w:rPr>
          <w:sz w:val="24"/>
          <w:szCs w:val="24"/>
        </w:rPr>
      </w:pPr>
      <w:r>
        <w:rPr>
          <w:rFonts w:hint="eastAsia"/>
          <w:sz w:val="24"/>
          <w:szCs w:val="24"/>
        </w:rPr>
        <w:t>一、磋商内容</w:t>
      </w:r>
    </w:p>
    <w:p>
      <w:pPr>
        <w:widowControl/>
        <w:shd w:val="clear" w:color="auto" w:fill="FFFFFF"/>
        <w:spacing w:line="360" w:lineRule="exact"/>
        <w:ind w:firstLine="480" w:firstLineChars="200"/>
        <w:jc w:val="left"/>
        <w:rPr>
          <w:sz w:val="24"/>
          <w:szCs w:val="24"/>
        </w:rPr>
      </w:pPr>
      <w:r>
        <w:rPr>
          <w:sz w:val="24"/>
          <w:szCs w:val="24"/>
        </w:rPr>
        <w:t>1</w:t>
      </w:r>
      <w:r>
        <w:rPr>
          <w:rFonts w:hint="eastAsia"/>
          <w:sz w:val="24"/>
          <w:szCs w:val="24"/>
        </w:rPr>
        <w:t>、磋商内容：绵阳市中医医院中医传承项目配套设备项目政府专项债券“一案两书”编制咨询服务项目，最高限价22万元整，（其他未尽事宜，以磋商文件为准）</w:t>
      </w:r>
    </w:p>
    <w:p>
      <w:pPr>
        <w:widowControl/>
        <w:shd w:val="clear" w:color="auto" w:fill="FFFFFF"/>
        <w:spacing w:line="360" w:lineRule="exact"/>
        <w:ind w:firstLine="480" w:firstLineChars="200"/>
        <w:jc w:val="left"/>
        <w:rPr>
          <w:sz w:val="24"/>
          <w:szCs w:val="24"/>
        </w:rPr>
      </w:pPr>
      <w:r>
        <w:rPr>
          <w:sz w:val="24"/>
          <w:szCs w:val="24"/>
        </w:rPr>
        <w:t>2</w:t>
      </w:r>
      <w:r>
        <w:rPr>
          <w:rFonts w:hint="eastAsia"/>
          <w:sz w:val="24"/>
          <w:szCs w:val="24"/>
        </w:rPr>
        <w:t>、磋商方式：采取竞争性磋商方式，在密封报价的基础上，进行一轮或多轮磋商。</w:t>
      </w:r>
    </w:p>
    <w:p>
      <w:pPr>
        <w:widowControl/>
        <w:shd w:val="clear" w:color="auto" w:fill="FFFFFF"/>
        <w:spacing w:line="360" w:lineRule="exact"/>
        <w:ind w:firstLine="480" w:firstLineChars="200"/>
        <w:jc w:val="left"/>
        <w:rPr>
          <w:sz w:val="24"/>
          <w:szCs w:val="24"/>
        </w:rPr>
      </w:pPr>
      <w:r>
        <w:rPr>
          <w:sz w:val="24"/>
          <w:szCs w:val="24"/>
        </w:rPr>
        <w:t>3</w:t>
      </w:r>
      <w:r>
        <w:rPr>
          <w:rFonts w:hint="eastAsia"/>
          <w:sz w:val="24"/>
          <w:szCs w:val="24"/>
        </w:rPr>
        <w:t>、评定方式：经磋商及评审后的综合评分法。</w:t>
      </w:r>
    </w:p>
    <w:p>
      <w:pPr>
        <w:widowControl/>
        <w:shd w:val="clear" w:color="auto" w:fill="FFFFFF"/>
        <w:spacing w:line="360" w:lineRule="exact"/>
        <w:jc w:val="left"/>
        <w:rPr>
          <w:sz w:val="24"/>
          <w:szCs w:val="24"/>
        </w:rPr>
      </w:pPr>
      <w:r>
        <w:rPr>
          <w:rFonts w:hint="eastAsia"/>
          <w:sz w:val="24"/>
          <w:szCs w:val="24"/>
        </w:rPr>
        <w:t>二、竞标者资质及要求</w:t>
      </w:r>
    </w:p>
    <w:p>
      <w:pPr>
        <w:pStyle w:val="70"/>
        <w:spacing w:line="360" w:lineRule="exact"/>
        <w:ind w:firstLine="480"/>
        <w:rPr>
          <w:sz w:val="24"/>
        </w:rPr>
      </w:pPr>
      <w:r>
        <w:rPr>
          <w:rFonts w:hint="eastAsia"/>
          <w:sz w:val="24"/>
        </w:rPr>
        <w:t>（一）资质条件</w:t>
      </w:r>
    </w:p>
    <w:p>
      <w:pPr>
        <w:pStyle w:val="70"/>
        <w:spacing w:line="360" w:lineRule="exact"/>
        <w:ind w:firstLine="480"/>
        <w:rPr>
          <w:sz w:val="24"/>
        </w:rPr>
      </w:pPr>
      <w:r>
        <w:rPr>
          <w:rFonts w:hint="eastAsia"/>
          <w:sz w:val="24"/>
        </w:rPr>
        <w:t>1、具有独立承担民事责任的能力；</w:t>
      </w:r>
    </w:p>
    <w:p>
      <w:pPr>
        <w:pStyle w:val="70"/>
        <w:spacing w:line="360" w:lineRule="exact"/>
        <w:ind w:firstLine="480"/>
        <w:rPr>
          <w:sz w:val="24"/>
        </w:rPr>
      </w:pPr>
      <w:r>
        <w:rPr>
          <w:rFonts w:hint="eastAsia"/>
          <w:sz w:val="24"/>
        </w:rPr>
        <w:t>2、具有良好的商业信誉和健全的财务会计制度；</w:t>
      </w:r>
    </w:p>
    <w:p>
      <w:pPr>
        <w:tabs>
          <w:tab w:val="left" w:pos="7665"/>
        </w:tabs>
        <w:spacing w:line="360" w:lineRule="exact"/>
        <w:ind w:firstLine="480" w:firstLineChars="200"/>
        <w:rPr>
          <w:sz w:val="24"/>
          <w:szCs w:val="24"/>
        </w:rPr>
      </w:pPr>
      <w:r>
        <w:rPr>
          <w:rFonts w:hint="eastAsia"/>
          <w:sz w:val="24"/>
          <w:szCs w:val="24"/>
        </w:rPr>
        <w:t>3、具有履行合同所必须的设备和专业技术能力；</w:t>
      </w:r>
    </w:p>
    <w:p>
      <w:pPr>
        <w:tabs>
          <w:tab w:val="left" w:pos="7665"/>
        </w:tabs>
        <w:spacing w:line="360" w:lineRule="exact"/>
        <w:ind w:firstLine="480" w:firstLineChars="200"/>
        <w:rPr>
          <w:sz w:val="24"/>
          <w:szCs w:val="24"/>
        </w:rPr>
      </w:pPr>
      <w:r>
        <w:rPr>
          <w:rFonts w:hint="eastAsia"/>
          <w:sz w:val="24"/>
          <w:szCs w:val="24"/>
        </w:rPr>
        <w:t xml:space="preserve">4、具有依法缴纳税收和社会保障资金的良好记录； </w:t>
      </w:r>
    </w:p>
    <w:p>
      <w:pPr>
        <w:tabs>
          <w:tab w:val="left" w:pos="7665"/>
        </w:tabs>
        <w:spacing w:line="360" w:lineRule="exact"/>
        <w:ind w:firstLine="480" w:firstLineChars="200"/>
        <w:rPr>
          <w:sz w:val="24"/>
          <w:szCs w:val="24"/>
        </w:rPr>
      </w:pPr>
      <w:r>
        <w:rPr>
          <w:rFonts w:hint="eastAsia"/>
          <w:sz w:val="24"/>
          <w:szCs w:val="24"/>
        </w:rPr>
        <w:t>5、营业执照执业范围：具有社会、经济类服务范围；</w:t>
      </w:r>
    </w:p>
    <w:p>
      <w:pPr>
        <w:tabs>
          <w:tab w:val="left" w:pos="7665"/>
        </w:tabs>
        <w:spacing w:line="360" w:lineRule="exact"/>
        <w:ind w:firstLine="480" w:firstLineChars="200"/>
        <w:rPr>
          <w:sz w:val="24"/>
          <w:szCs w:val="24"/>
        </w:rPr>
      </w:pPr>
      <w:r>
        <w:rPr>
          <w:rFonts w:hint="eastAsia"/>
          <w:sz w:val="24"/>
          <w:szCs w:val="24"/>
        </w:rPr>
        <w:t>6、法律、行政法规规定的其他条件。</w:t>
      </w:r>
    </w:p>
    <w:p>
      <w:pPr>
        <w:tabs>
          <w:tab w:val="left" w:pos="7665"/>
        </w:tabs>
        <w:spacing w:line="360" w:lineRule="exact"/>
        <w:ind w:firstLine="480" w:firstLineChars="200"/>
        <w:rPr>
          <w:sz w:val="24"/>
          <w:szCs w:val="24"/>
        </w:rPr>
      </w:pPr>
      <w:r>
        <w:rPr>
          <w:rFonts w:hint="eastAsia"/>
          <w:sz w:val="24"/>
          <w:szCs w:val="24"/>
        </w:rPr>
        <w:t>（二）其他要求</w:t>
      </w:r>
    </w:p>
    <w:p>
      <w:pPr>
        <w:tabs>
          <w:tab w:val="left" w:pos="7665"/>
        </w:tabs>
        <w:spacing w:line="360" w:lineRule="exact"/>
        <w:ind w:firstLine="480" w:firstLineChars="200"/>
        <w:rPr>
          <w:sz w:val="24"/>
          <w:szCs w:val="24"/>
        </w:rPr>
      </w:pPr>
      <w:r>
        <w:rPr>
          <w:rFonts w:hint="eastAsia"/>
          <w:sz w:val="24"/>
          <w:szCs w:val="24"/>
        </w:rPr>
        <w:t>1、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p>
      <w:pPr>
        <w:ind w:firstLine="540"/>
        <w:rPr>
          <w:sz w:val="24"/>
          <w:szCs w:val="24"/>
        </w:rPr>
      </w:pPr>
      <w:r>
        <w:rPr>
          <w:rFonts w:hint="eastAsia"/>
          <w:sz w:val="24"/>
          <w:szCs w:val="24"/>
        </w:rPr>
        <w:t>2、具有地方政府专项债券“一案两书”的编制经验，至少完成过三个项目的地方政府专项债券“一案两书”的编制（提供服务合同）。</w:t>
      </w:r>
    </w:p>
    <w:p>
      <w:pPr>
        <w:ind w:firstLine="540"/>
        <w:rPr>
          <w:sz w:val="24"/>
          <w:szCs w:val="24"/>
        </w:rPr>
      </w:pPr>
      <w:r>
        <w:rPr>
          <w:rFonts w:hint="eastAsia"/>
          <w:sz w:val="24"/>
          <w:szCs w:val="24"/>
        </w:rPr>
        <w:t>3、具有地方政府专项债券“一案两书”的编制成功的案列，进入地方政府债券发行备选库（提供证明材料）。</w:t>
      </w:r>
    </w:p>
    <w:p>
      <w:pPr>
        <w:widowControl/>
        <w:shd w:val="clear" w:color="auto" w:fill="FFFFFF"/>
        <w:spacing w:line="360" w:lineRule="exact"/>
        <w:ind w:firstLine="420"/>
        <w:jc w:val="left"/>
        <w:rPr>
          <w:sz w:val="24"/>
          <w:szCs w:val="24"/>
        </w:rPr>
      </w:pPr>
      <w:r>
        <w:rPr>
          <w:rFonts w:hint="eastAsia"/>
          <w:sz w:val="24"/>
          <w:szCs w:val="24"/>
        </w:rPr>
        <w:t>三、报名须知</w:t>
      </w:r>
    </w:p>
    <w:p>
      <w:pPr>
        <w:widowControl/>
        <w:shd w:val="clear" w:color="auto" w:fill="FFFFFF"/>
        <w:spacing w:line="360" w:lineRule="exact"/>
        <w:ind w:firstLine="420"/>
        <w:jc w:val="left"/>
        <w:rPr>
          <w:sz w:val="24"/>
          <w:szCs w:val="24"/>
        </w:rPr>
      </w:pPr>
      <w:r>
        <w:rPr>
          <w:sz w:val="24"/>
          <w:szCs w:val="24"/>
        </w:rPr>
        <w:t>1</w:t>
      </w:r>
      <w:r>
        <w:rPr>
          <w:rFonts w:hint="eastAsia"/>
          <w:sz w:val="24"/>
          <w:szCs w:val="24"/>
        </w:rPr>
        <w:t>、报名方式：报名只需将附件中的报名登记表如实填写并将电子档回传至</w:t>
      </w:r>
      <w:r>
        <w:rPr>
          <w:sz w:val="24"/>
          <w:szCs w:val="24"/>
        </w:rPr>
        <w:t>1967780794@qq.com</w:t>
      </w:r>
      <w:r>
        <w:rPr>
          <w:rFonts w:hint="eastAsia"/>
          <w:sz w:val="24"/>
          <w:szCs w:val="24"/>
        </w:rPr>
        <w:t>邮箱，无须现场报名。</w:t>
      </w:r>
    </w:p>
    <w:p>
      <w:pPr>
        <w:widowControl/>
        <w:shd w:val="clear" w:color="auto" w:fill="FFFFFF"/>
        <w:spacing w:line="360" w:lineRule="exact"/>
        <w:ind w:firstLine="420"/>
        <w:jc w:val="left"/>
        <w:rPr>
          <w:sz w:val="24"/>
          <w:szCs w:val="24"/>
        </w:rPr>
      </w:pPr>
      <w:r>
        <w:rPr>
          <w:sz w:val="24"/>
          <w:szCs w:val="24"/>
        </w:rPr>
        <w:t>2</w:t>
      </w:r>
      <w:r>
        <w:rPr>
          <w:rFonts w:hint="eastAsia"/>
          <w:sz w:val="24"/>
          <w:szCs w:val="24"/>
        </w:rPr>
        <w:t>、报名时间</w:t>
      </w:r>
      <w:r>
        <w:rPr>
          <w:rFonts w:hint="eastAsia"/>
          <w:sz w:val="24"/>
          <w:szCs w:val="24"/>
          <w:highlight w:val="red"/>
        </w:rPr>
        <w:t>：</w:t>
      </w:r>
      <w:r>
        <w:rPr>
          <w:sz w:val="24"/>
          <w:szCs w:val="24"/>
          <w:highlight w:val="red"/>
        </w:rPr>
        <w:t>20</w:t>
      </w:r>
      <w:r>
        <w:rPr>
          <w:rFonts w:hint="eastAsia"/>
          <w:sz w:val="24"/>
          <w:szCs w:val="24"/>
          <w:highlight w:val="red"/>
        </w:rPr>
        <w:t>24年 3月</w:t>
      </w:r>
      <w:r>
        <w:rPr>
          <w:rFonts w:hint="eastAsia"/>
          <w:sz w:val="24"/>
          <w:szCs w:val="24"/>
          <w:highlight w:val="red"/>
          <w:lang w:val="en-US" w:eastAsia="zh-CN"/>
        </w:rPr>
        <w:t>11</w:t>
      </w:r>
      <w:r>
        <w:rPr>
          <w:rFonts w:hint="eastAsia"/>
          <w:sz w:val="24"/>
          <w:szCs w:val="24"/>
          <w:highlight w:val="red"/>
        </w:rPr>
        <w:t>日至</w:t>
      </w:r>
      <w:r>
        <w:rPr>
          <w:sz w:val="24"/>
          <w:szCs w:val="24"/>
          <w:highlight w:val="red"/>
        </w:rPr>
        <w:t>20</w:t>
      </w:r>
      <w:r>
        <w:rPr>
          <w:rFonts w:hint="eastAsia"/>
          <w:sz w:val="24"/>
          <w:szCs w:val="24"/>
          <w:highlight w:val="red"/>
        </w:rPr>
        <w:t>24年3月</w:t>
      </w:r>
      <w:r>
        <w:rPr>
          <w:rFonts w:hint="eastAsia"/>
          <w:sz w:val="24"/>
          <w:szCs w:val="24"/>
          <w:highlight w:val="red"/>
          <w:lang w:val="en-US" w:eastAsia="zh-CN"/>
        </w:rPr>
        <w:t>15</w:t>
      </w:r>
      <w:r>
        <w:rPr>
          <w:rFonts w:hint="eastAsia"/>
          <w:sz w:val="24"/>
          <w:szCs w:val="24"/>
          <w:highlight w:val="red"/>
        </w:rPr>
        <w:t>日</w:t>
      </w:r>
      <w:r>
        <w:rPr>
          <w:sz w:val="24"/>
          <w:szCs w:val="24"/>
          <w:highlight w:val="red"/>
        </w:rPr>
        <w:t xml:space="preserve"> 17:00</w:t>
      </w:r>
      <w:r>
        <w:rPr>
          <w:rFonts w:hint="eastAsia"/>
          <w:sz w:val="24"/>
          <w:szCs w:val="24"/>
          <w:highlight w:val="red"/>
        </w:rPr>
        <w:t>止；</w:t>
      </w:r>
    </w:p>
    <w:p>
      <w:pPr>
        <w:widowControl/>
        <w:shd w:val="clear" w:color="auto" w:fill="FFFFFF"/>
        <w:spacing w:line="360" w:lineRule="exact"/>
        <w:ind w:firstLine="420"/>
        <w:jc w:val="left"/>
        <w:rPr>
          <w:sz w:val="24"/>
          <w:szCs w:val="24"/>
        </w:rPr>
      </w:pPr>
      <w:r>
        <w:rPr>
          <w:sz w:val="24"/>
          <w:szCs w:val="24"/>
        </w:rPr>
        <w:t>3</w:t>
      </w:r>
      <w:r>
        <w:rPr>
          <w:rFonts w:hint="eastAsia"/>
          <w:sz w:val="24"/>
          <w:szCs w:val="24"/>
        </w:rPr>
        <w:t>、报名地点：</w:t>
      </w:r>
      <w:r>
        <w:rPr>
          <w:sz w:val="24"/>
          <w:szCs w:val="24"/>
        </w:rPr>
        <w:t xml:space="preserve"> </w:t>
      </w:r>
      <w:r>
        <w:rPr>
          <w:rFonts w:hint="eastAsia"/>
          <w:sz w:val="24"/>
          <w:szCs w:val="24"/>
        </w:rPr>
        <w:t>四川省绵阳市中医医院采购办（怀恩楼十八楼）</w:t>
      </w:r>
    </w:p>
    <w:p>
      <w:pPr>
        <w:widowControl/>
        <w:shd w:val="clear" w:color="auto" w:fill="FFFFFF"/>
        <w:spacing w:line="360" w:lineRule="exact"/>
        <w:ind w:firstLine="420"/>
        <w:jc w:val="left"/>
        <w:rPr>
          <w:sz w:val="24"/>
          <w:szCs w:val="24"/>
        </w:rPr>
      </w:pPr>
      <w:r>
        <w:rPr>
          <w:rFonts w:hint="eastAsia"/>
          <w:sz w:val="24"/>
          <w:szCs w:val="24"/>
        </w:rPr>
        <w:t>四、磋商时间：</w:t>
      </w:r>
      <w:r>
        <w:rPr>
          <w:sz w:val="24"/>
          <w:szCs w:val="24"/>
          <w:highlight w:val="red"/>
        </w:rPr>
        <w:t xml:space="preserve"> 20</w:t>
      </w:r>
      <w:r>
        <w:rPr>
          <w:rFonts w:hint="eastAsia"/>
          <w:sz w:val="24"/>
          <w:szCs w:val="24"/>
          <w:highlight w:val="red"/>
        </w:rPr>
        <w:t>24年3月</w:t>
      </w:r>
      <w:r>
        <w:rPr>
          <w:rFonts w:hint="eastAsia"/>
          <w:sz w:val="24"/>
          <w:szCs w:val="24"/>
          <w:highlight w:val="red"/>
          <w:lang w:val="en-US" w:eastAsia="zh-CN"/>
        </w:rPr>
        <w:t>22</w:t>
      </w:r>
      <w:r>
        <w:rPr>
          <w:rFonts w:hint="eastAsia"/>
          <w:sz w:val="24"/>
          <w:szCs w:val="24"/>
          <w:highlight w:val="red"/>
        </w:rPr>
        <w:t>日</w:t>
      </w:r>
      <w:r>
        <w:rPr>
          <w:sz w:val="24"/>
          <w:szCs w:val="24"/>
          <w:highlight w:val="red"/>
        </w:rPr>
        <w:t xml:space="preserve"> 1</w:t>
      </w:r>
      <w:r>
        <w:rPr>
          <w:rFonts w:hint="eastAsia"/>
          <w:sz w:val="24"/>
          <w:szCs w:val="24"/>
          <w:highlight w:val="red"/>
        </w:rPr>
        <w:t>4</w:t>
      </w:r>
      <w:r>
        <w:rPr>
          <w:sz w:val="24"/>
          <w:szCs w:val="24"/>
          <w:highlight w:val="red"/>
        </w:rPr>
        <w:t>:</w:t>
      </w:r>
      <w:r>
        <w:rPr>
          <w:rFonts w:hint="eastAsia"/>
          <w:sz w:val="24"/>
          <w:szCs w:val="24"/>
          <w:highlight w:val="red"/>
        </w:rPr>
        <w:t>3</w:t>
      </w:r>
      <w:r>
        <w:rPr>
          <w:sz w:val="24"/>
          <w:szCs w:val="24"/>
          <w:highlight w:val="red"/>
        </w:rPr>
        <w:t>0</w:t>
      </w:r>
      <w:r>
        <w:rPr>
          <w:rFonts w:hint="eastAsia"/>
          <w:sz w:val="24"/>
          <w:szCs w:val="24"/>
          <w:highlight w:val="red"/>
        </w:rPr>
        <w:t>分；</w:t>
      </w:r>
    </w:p>
    <w:p>
      <w:pPr>
        <w:widowControl/>
        <w:shd w:val="clear" w:color="auto" w:fill="FFFFFF"/>
        <w:spacing w:line="360" w:lineRule="exact"/>
        <w:ind w:firstLine="420"/>
        <w:jc w:val="left"/>
        <w:rPr>
          <w:sz w:val="24"/>
          <w:szCs w:val="24"/>
        </w:rPr>
      </w:pPr>
      <w:r>
        <w:rPr>
          <w:rFonts w:hint="eastAsia"/>
          <w:sz w:val="24"/>
          <w:szCs w:val="24"/>
        </w:rPr>
        <w:t>五、磋商地点：绵阳市中医医院怀恩楼十八楼会议室</w:t>
      </w:r>
      <w:r>
        <w:rPr>
          <w:sz w:val="24"/>
          <w:szCs w:val="24"/>
        </w:rPr>
        <w:t>.</w:t>
      </w:r>
    </w:p>
    <w:p>
      <w:pPr>
        <w:widowControl/>
        <w:shd w:val="clear" w:color="auto" w:fill="FFFFFF"/>
        <w:spacing w:line="360" w:lineRule="exact"/>
        <w:ind w:firstLine="420"/>
        <w:jc w:val="left"/>
        <w:rPr>
          <w:sz w:val="24"/>
          <w:szCs w:val="24"/>
        </w:rPr>
      </w:pPr>
      <w:r>
        <w:rPr>
          <w:rFonts w:hint="eastAsia"/>
          <w:sz w:val="24"/>
          <w:szCs w:val="24"/>
        </w:rPr>
        <w:t>六、采购文件获取：收到报名登记表后，待我院确定招标时间及相关要求后将以电子档形式发送至预留邮箱</w:t>
      </w:r>
    </w:p>
    <w:p>
      <w:pPr>
        <w:widowControl/>
        <w:shd w:val="clear" w:color="auto" w:fill="FFFFFF"/>
        <w:spacing w:line="360" w:lineRule="exact"/>
        <w:ind w:firstLine="420"/>
        <w:jc w:val="left"/>
        <w:rPr>
          <w:sz w:val="24"/>
          <w:szCs w:val="24"/>
        </w:rPr>
      </w:pPr>
      <w:r>
        <w:rPr>
          <w:rFonts w:hint="eastAsia"/>
          <w:sz w:val="24"/>
          <w:szCs w:val="24"/>
        </w:rPr>
        <w:t>七、报名咨询电话：</w:t>
      </w:r>
      <w:r>
        <w:rPr>
          <w:sz w:val="24"/>
          <w:szCs w:val="24"/>
        </w:rPr>
        <w:t>0816-2243905 敬先生</w:t>
      </w:r>
    </w:p>
    <w:p>
      <w:pPr>
        <w:widowControl/>
        <w:shd w:val="clear" w:color="auto" w:fill="FFFFFF"/>
        <w:spacing w:line="360" w:lineRule="exact"/>
        <w:ind w:firstLine="420"/>
        <w:jc w:val="left"/>
        <w:rPr>
          <w:sz w:val="24"/>
          <w:szCs w:val="24"/>
        </w:rPr>
      </w:pPr>
      <w:r>
        <w:rPr>
          <w:rFonts w:hint="eastAsia"/>
          <w:sz w:val="24"/>
          <w:szCs w:val="24"/>
        </w:rPr>
        <w:t>项目具体咨询电话：财务科</w:t>
      </w:r>
      <w:r>
        <w:rPr>
          <w:sz w:val="24"/>
          <w:szCs w:val="24"/>
        </w:rPr>
        <w:t>0816-22</w:t>
      </w:r>
      <w:r>
        <w:rPr>
          <w:rFonts w:hint="eastAsia"/>
          <w:sz w:val="24"/>
          <w:szCs w:val="24"/>
        </w:rPr>
        <w:t xml:space="preserve">24075  </w:t>
      </w:r>
      <w:bookmarkStart w:id="90" w:name="_GoBack"/>
      <w:bookmarkEnd w:id="90"/>
      <w:r>
        <w:rPr>
          <w:rFonts w:hint="eastAsia"/>
          <w:sz w:val="24"/>
          <w:szCs w:val="24"/>
        </w:rPr>
        <w:t>13890188382 余先生</w:t>
      </w:r>
    </w:p>
    <w:p>
      <w:pPr>
        <w:widowControl/>
        <w:shd w:val="clear" w:color="auto" w:fill="FFFFFF"/>
        <w:spacing w:line="360" w:lineRule="exact"/>
        <w:ind w:firstLine="420"/>
        <w:jc w:val="left"/>
        <w:rPr>
          <w:sz w:val="24"/>
          <w:szCs w:val="24"/>
        </w:rPr>
      </w:pPr>
      <w:r>
        <w:rPr>
          <w:rFonts w:hint="eastAsia"/>
          <w:sz w:val="24"/>
          <w:szCs w:val="24"/>
        </w:rPr>
        <w:t>八、公告地点：四川绵阳中医医院门户网站（</w:t>
      </w:r>
      <w:r>
        <w:fldChar w:fldCharType="begin"/>
      </w:r>
      <w:r>
        <w:instrText xml:space="preserve"> HYPERLINK "http://www.myjkw.com/" </w:instrText>
      </w:r>
      <w:r>
        <w:fldChar w:fldCharType="separate"/>
      </w:r>
      <w:r>
        <w:rPr>
          <w:sz w:val="24"/>
          <w:szCs w:val="24"/>
        </w:rPr>
        <w:t>http://www.myzyy.com/</w:t>
      </w:r>
      <w:r>
        <w:rPr>
          <w:sz w:val="24"/>
          <w:szCs w:val="24"/>
        </w:rPr>
        <w:fldChar w:fldCharType="end"/>
      </w:r>
      <w:r>
        <w:rPr>
          <w:rFonts w:hint="eastAsia"/>
          <w:sz w:val="24"/>
          <w:szCs w:val="24"/>
        </w:rPr>
        <w:t>）、四川省绵阳中医医院信息公示栏。</w:t>
      </w:r>
    </w:p>
    <w:p>
      <w:pPr>
        <w:widowControl/>
        <w:shd w:val="clear" w:color="auto" w:fill="FFFFFF"/>
        <w:spacing w:line="360" w:lineRule="exact"/>
        <w:jc w:val="left"/>
        <w:rPr>
          <w:sz w:val="24"/>
          <w:szCs w:val="24"/>
        </w:rPr>
      </w:pPr>
      <w:r>
        <w:rPr>
          <w:sz w:val="24"/>
          <w:szCs w:val="24"/>
        </w:rPr>
        <w:t> </w:t>
      </w:r>
    </w:p>
    <w:p>
      <w:pPr>
        <w:widowControl/>
        <w:shd w:val="clear" w:color="auto" w:fill="FFFFFF"/>
        <w:spacing w:line="360" w:lineRule="exact"/>
        <w:jc w:val="center"/>
        <w:rPr>
          <w:sz w:val="24"/>
          <w:szCs w:val="24"/>
        </w:rPr>
      </w:pPr>
      <w:r>
        <w:rPr>
          <w:sz w:val="24"/>
          <w:szCs w:val="24"/>
        </w:rPr>
        <w:t>                             </w:t>
      </w:r>
      <w:r>
        <w:rPr>
          <w:rFonts w:hint="eastAsia"/>
          <w:sz w:val="24"/>
          <w:szCs w:val="24"/>
        </w:rPr>
        <w:t>绵阳市中医医院</w:t>
      </w:r>
    </w:p>
    <w:p>
      <w:pPr>
        <w:widowControl/>
        <w:shd w:val="clear" w:color="auto" w:fill="FFFFFF"/>
        <w:spacing w:line="360" w:lineRule="exact"/>
        <w:jc w:val="center"/>
        <w:rPr>
          <w:sz w:val="24"/>
          <w:szCs w:val="24"/>
        </w:rPr>
      </w:pPr>
      <w:r>
        <w:rPr>
          <w:sz w:val="24"/>
          <w:szCs w:val="24"/>
        </w:rPr>
        <w:t>                               20</w:t>
      </w:r>
      <w:r>
        <w:rPr>
          <w:rFonts w:hint="eastAsia"/>
          <w:sz w:val="24"/>
          <w:szCs w:val="24"/>
        </w:rPr>
        <w:t>24年03月6日</w:t>
      </w:r>
    </w:p>
    <w:p>
      <w:pPr>
        <w:widowControl/>
        <w:shd w:val="clear" w:color="auto" w:fill="FFFFFF"/>
        <w:spacing w:line="360" w:lineRule="exact"/>
        <w:ind w:firstLine="420"/>
        <w:jc w:val="left"/>
        <w:rPr>
          <w:sz w:val="24"/>
          <w:szCs w:val="24"/>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spacing w:line="440" w:lineRule="exact"/>
        <w:ind w:firstLine="548" w:firstLineChars="196"/>
        <w:jc w:val="right"/>
        <w:rPr>
          <w:rFonts w:ascii="宋体" w:hAnsi="宋体"/>
          <w:color w:val="000000"/>
          <w:sz w:val="28"/>
          <w:szCs w:val="28"/>
        </w:rPr>
      </w:pPr>
    </w:p>
    <w:p>
      <w:pPr>
        <w:pStyle w:val="3"/>
        <w:spacing w:line="415" w:lineRule="auto"/>
        <w:rPr>
          <w:rFonts w:ascii="宋体" w:hAnsi="宋体" w:eastAsia="宋体"/>
          <w:color w:val="000000"/>
          <w:sz w:val="36"/>
          <w:szCs w:val="36"/>
        </w:rPr>
      </w:pPr>
      <w:bookmarkStart w:id="2" w:name="报价方须知前附表"/>
      <w:bookmarkEnd w:id="2"/>
      <w:bookmarkStart w:id="3" w:name="_Toc414449925"/>
      <w:bookmarkStart w:id="4" w:name="_Toc409689465"/>
      <w:r>
        <w:rPr>
          <w:rFonts w:hint="eastAsia" w:ascii="宋体" w:hAnsi="宋体" w:eastAsia="宋体"/>
          <w:color w:val="000000"/>
          <w:sz w:val="36"/>
          <w:szCs w:val="36"/>
        </w:rPr>
        <w:t>第二章 供应商须知</w:t>
      </w:r>
      <w:bookmarkEnd w:id="3"/>
      <w:bookmarkEnd w:id="4"/>
    </w:p>
    <w:p>
      <w:pPr>
        <w:jc w:val="center"/>
        <w:rPr>
          <w:rFonts w:ascii="宋体" w:hAnsi="宋体"/>
          <w:b/>
          <w:bCs/>
          <w:color w:val="000000"/>
          <w:sz w:val="28"/>
          <w:szCs w:val="28"/>
        </w:rPr>
      </w:pPr>
      <w:bookmarkStart w:id="5" w:name="二．报价方须知"/>
      <w:bookmarkEnd w:id="5"/>
    </w:p>
    <w:p>
      <w:pPr>
        <w:jc w:val="center"/>
        <w:rPr>
          <w:rFonts w:ascii="宋体" w:hAnsi="宋体"/>
          <w:b/>
          <w:bCs/>
          <w:color w:val="000000"/>
          <w:sz w:val="28"/>
          <w:szCs w:val="28"/>
        </w:rPr>
      </w:pPr>
      <w:r>
        <w:rPr>
          <w:rFonts w:hint="eastAsia" w:ascii="宋体" w:hAnsi="宋体"/>
          <w:b/>
          <w:bCs/>
          <w:color w:val="000000"/>
          <w:sz w:val="28"/>
          <w:szCs w:val="28"/>
          <w:highlight w:val="yellow"/>
        </w:rPr>
        <w:t>一、供应商须知前附表</w:t>
      </w:r>
    </w:p>
    <w:tbl>
      <w:tblPr>
        <w:tblStyle w:val="26"/>
        <w:tblW w:w="86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815"/>
        <w:gridCol w:w="2310"/>
        <w:gridCol w:w="5481"/>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51" w:hRule="exact"/>
          <w:tblHeader/>
          <w:jc w:val="center"/>
        </w:trPr>
        <w:tc>
          <w:tcPr>
            <w:tcW w:w="815" w:type="dxa"/>
            <w:vAlign w:val="center"/>
          </w:tcPr>
          <w:p>
            <w:pPr>
              <w:pStyle w:val="78"/>
              <w:ind w:left="9"/>
              <w:jc w:val="center"/>
              <w:rPr>
                <w:color w:val="000000"/>
                <w:sz w:val="28"/>
                <w:szCs w:val="28"/>
                <w:lang w:val="zh-CN"/>
              </w:rPr>
            </w:pPr>
            <w:r>
              <w:rPr>
                <w:rFonts w:hint="eastAsia"/>
                <w:color w:val="000000"/>
                <w:sz w:val="28"/>
                <w:szCs w:val="28"/>
                <w:lang w:val="zh-CN"/>
              </w:rPr>
              <w:t>序号</w:t>
            </w:r>
          </w:p>
        </w:tc>
        <w:tc>
          <w:tcPr>
            <w:tcW w:w="2310" w:type="dxa"/>
            <w:vAlign w:val="center"/>
          </w:tcPr>
          <w:p>
            <w:pPr>
              <w:pStyle w:val="78"/>
              <w:ind w:left="38"/>
              <w:jc w:val="center"/>
              <w:rPr>
                <w:color w:val="000000"/>
                <w:sz w:val="28"/>
                <w:szCs w:val="28"/>
                <w:lang w:val="zh-CN"/>
              </w:rPr>
            </w:pPr>
            <w:r>
              <w:rPr>
                <w:rFonts w:hint="eastAsia"/>
                <w:color w:val="000000"/>
                <w:sz w:val="28"/>
                <w:szCs w:val="28"/>
                <w:lang w:val="zh-CN"/>
              </w:rPr>
              <w:t xml:space="preserve">条款名称 </w:t>
            </w:r>
          </w:p>
        </w:tc>
        <w:tc>
          <w:tcPr>
            <w:tcW w:w="5481" w:type="dxa"/>
            <w:vAlign w:val="center"/>
          </w:tcPr>
          <w:p>
            <w:pPr>
              <w:pStyle w:val="78"/>
              <w:jc w:val="center"/>
              <w:rPr>
                <w:color w:val="000000"/>
                <w:sz w:val="28"/>
                <w:szCs w:val="28"/>
                <w:lang w:val="zh-CN"/>
              </w:rPr>
            </w:pPr>
            <w:r>
              <w:rPr>
                <w:rFonts w:hint="eastAsia"/>
                <w:color w:val="000000"/>
                <w:sz w:val="28"/>
                <w:szCs w:val="28"/>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880" w:hRule="exac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1</w:t>
            </w:r>
          </w:p>
        </w:tc>
        <w:tc>
          <w:tcPr>
            <w:tcW w:w="2310" w:type="dxa"/>
            <w:vAlign w:val="center"/>
          </w:tcPr>
          <w:p>
            <w:pPr>
              <w:pStyle w:val="78"/>
              <w:ind w:left="38"/>
              <w:jc w:val="center"/>
              <w:rPr>
                <w:rFonts w:ascii="Calibri" w:hAnsi="Calibri"/>
                <w:b/>
                <w:kern w:val="2"/>
                <w:szCs w:val="24"/>
                <w:u w:val="single"/>
              </w:rPr>
            </w:pPr>
            <w:r>
              <w:rPr>
                <w:rFonts w:hint="eastAsia" w:ascii="Calibri" w:hAnsi="Calibri"/>
                <w:b/>
                <w:kern w:val="2"/>
                <w:szCs w:val="24"/>
                <w:u w:val="single"/>
              </w:rPr>
              <w:t>采购项目名称</w:t>
            </w:r>
          </w:p>
        </w:tc>
        <w:tc>
          <w:tcPr>
            <w:tcW w:w="5481" w:type="dxa"/>
            <w:vAlign w:val="center"/>
          </w:tcPr>
          <w:p>
            <w:pPr>
              <w:spacing w:line="380" w:lineRule="exact"/>
              <w:rPr>
                <w:b/>
                <w:sz w:val="24"/>
                <w:szCs w:val="24"/>
                <w:u w:val="single"/>
              </w:rPr>
            </w:pPr>
            <w:r>
              <w:rPr>
                <w:rFonts w:hint="eastAsia"/>
                <w:b/>
                <w:sz w:val="24"/>
                <w:szCs w:val="24"/>
                <w:u w:val="single"/>
              </w:rPr>
              <w:t>中医药传承与创新工程建设项目和科教综合楼建设项目政府专项债券“一案两书”编制咨询服务项目。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57" w:hRule="exac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2</w:t>
            </w:r>
          </w:p>
        </w:tc>
        <w:tc>
          <w:tcPr>
            <w:tcW w:w="2310" w:type="dxa"/>
            <w:vAlign w:val="center"/>
          </w:tcPr>
          <w:p>
            <w:pPr>
              <w:pStyle w:val="78"/>
              <w:ind w:left="38"/>
              <w:jc w:val="center"/>
              <w:rPr>
                <w:color w:val="000000"/>
                <w:sz w:val="28"/>
                <w:szCs w:val="28"/>
                <w:lang w:val="zh-CN"/>
              </w:rPr>
            </w:pPr>
            <w:r>
              <w:rPr>
                <w:rFonts w:hint="eastAsia"/>
                <w:color w:val="000000"/>
                <w:sz w:val="28"/>
                <w:szCs w:val="28"/>
                <w:lang w:val="zh-CN"/>
              </w:rPr>
              <w:t>最高限价</w:t>
            </w:r>
          </w:p>
        </w:tc>
        <w:tc>
          <w:tcPr>
            <w:tcW w:w="5481" w:type="dxa"/>
            <w:vAlign w:val="center"/>
          </w:tcPr>
          <w:p>
            <w:pPr>
              <w:pStyle w:val="78"/>
              <w:ind w:firstLine="280" w:firstLineChars="100"/>
              <w:jc w:val="both"/>
              <w:rPr>
                <w:b/>
                <w:color w:val="000000"/>
                <w:sz w:val="28"/>
                <w:szCs w:val="28"/>
                <w:lang w:val="zh-CN"/>
              </w:rPr>
            </w:pPr>
            <w:r>
              <w:rPr>
                <w:rFonts w:hint="eastAsia"/>
                <w:color w:val="000000"/>
                <w:sz w:val="28"/>
                <w:szCs w:val="28"/>
              </w:rPr>
              <w:t>22</w:t>
            </w:r>
            <w:r>
              <w:rPr>
                <w:rFonts w:hint="eastAsia"/>
                <w:color w:val="000000"/>
                <w:sz w:val="28"/>
                <w:szCs w:val="28"/>
                <w:lang w:val="zh-CN"/>
              </w:rPr>
              <w:t>万元</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18" w:hRule="atLeas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3</w:t>
            </w:r>
          </w:p>
        </w:tc>
        <w:tc>
          <w:tcPr>
            <w:tcW w:w="2310" w:type="dxa"/>
            <w:vAlign w:val="center"/>
          </w:tcPr>
          <w:p>
            <w:pPr>
              <w:pStyle w:val="78"/>
              <w:ind w:left="38"/>
              <w:jc w:val="center"/>
              <w:rPr>
                <w:color w:val="000000"/>
                <w:sz w:val="28"/>
                <w:szCs w:val="28"/>
                <w:lang w:val="zh-CN"/>
              </w:rPr>
            </w:pPr>
            <w:r>
              <w:rPr>
                <w:rFonts w:hint="eastAsia"/>
                <w:color w:val="000000"/>
                <w:sz w:val="28"/>
                <w:szCs w:val="28"/>
                <w:lang w:val="zh-CN"/>
              </w:rPr>
              <w:t>采购方式</w:t>
            </w:r>
          </w:p>
        </w:tc>
        <w:tc>
          <w:tcPr>
            <w:tcW w:w="5481" w:type="dxa"/>
            <w:vAlign w:val="center"/>
          </w:tcPr>
          <w:p>
            <w:pPr>
              <w:pStyle w:val="78"/>
              <w:jc w:val="both"/>
              <w:rPr>
                <w:color w:val="000000"/>
                <w:sz w:val="28"/>
                <w:szCs w:val="28"/>
                <w:lang w:val="zh-CN"/>
              </w:rPr>
            </w:pPr>
            <w:r>
              <w:rPr>
                <w:rFonts w:hint="eastAsia"/>
                <w:color w:val="000000"/>
                <w:sz w:val="28"/>
                <w:szCs w:val="28"/>
                <w:lang w:val="zh-CN"/>
              </w:rPr>
              <w:t xml:space="preserve">  竞争性磋商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475" w:hRule="atLeas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4</w:t>
            </w:r>
          </w:p>
        </w:tc>
        <w:tc>
          <w:tcPr>
            <w:tcW w:w="2310" w:type="dxa"/>
            <w:vAlign w:val="center"/>
          </w:tcPr>
          <w:p>
            <w:pPr>
              <w:pStyle w:val="78"/>
              <w:ind w:left="96"/>
              <w:jc w:val="center"/>
              <w:rPr>
                <w:color w:val="000000"/>
                <w:sz w:val="28"/>
                <w:szCs w:val="28"/>
                <w:lang w:val="zh-CN"/>
              </w:rPr>
            </w:pPr>
            <w:r>
              <w:rPr>
                <w:rFonts w:hint="eastAsia"/>
                <w:color w:val="000000"/>
                <w:sz w:val="28"/>
                <w:szCs w:val="28"/>
                <w:lang w:val="zh-CN"/>
              </w:rPr>
              <w:t>评定方法</w:t>
            </w:r>
          </w:p>
        </w:tc>
        <w:tc>
          <w:tcPr>
            <w:tcW w:w="5481" w:type="dxa"/>
            <w:vAlign w:val="center"/>
          </w:tcPr>
          <w:p>
            <w:pPr>
              <w:pStyle w:val="78"/>
              <w:ind w:left="239" w:leftChars="114"/>
              <w:rPr>
                <w:color w:val="000000"/>
                <w:sz w:val="28"/>
                <w:szCs w:val="28"/>
                <w:lang w:val="zh-CN"/>
              </w:rPr>
            </w:pPr>
            <w:r>
              <w:rPr>
                <w:rFonts w:hint="eastAsia"/>
                <w:color w:val="000000"/>
                <w:sz w:val="28"/>
                <w:szCs w:val="28"/>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075" w:hRule="atLeas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5</w:t>
            </w:r>
          </w:p>
        </w:tc>
        <w:tc>
          <w:tcPr>
            <w:tcW w:w="2310" w:type="dxa"/>
            <w:vAlign w:val="center"/>
          </w:tcPr>
          <w:p>
            <w:pPr>
              <w:pStyle w:val="78"/>
              <w:ind w:left="96"/>
              <w:jc w:val="center"/>
              <w:rPr>
                <w:color w:val="000000"/>
                <w:sz w:val="28"/>
                <w:szCs w:val="28"/>
                <w:lang w:val="zh-CN"/>
              </w:rPr>
            </w:pPr>
            <w:r>
              <w:rPr>
                <w:rFonts w:hint="eastAsia"/>
                <w:color w:val="000000"/>
                <w:sz w:val="28"/>
                <w:szCs w:val="28"/>
                <w:lang w:val="zh-CN"/>
              </w:rPr>
              <w:t>交货时间、地点</w:t>
            </w:r>
          </w:p>
        </w:tc>
        <w:tc>
          <w:tcPr>
            <w:tcW w:w="5481" w:type="dxa"/>
            <w:vAlign w:val="center"/>
          </w:tcPr>
          <w:p>
            <w:pPr>
              <w:pStyle w:val="78"/>
              <w:ind w:left="266" w:leftChars="127"/>
              <w:rPr>
                <w:color w:val="000000"/>
                <w:sz w:val="28"/>
                <w:szCs w:val="28"/>
                <w:lang w:val="zh-CN"/>
              </w:rPr>
            </w:pPr>
            <w:r>
              <w:rPr>
                <w:rFonts w:hint="eastAsia"/>
                <w:color w:val="000000"/>
                <w:sz w:val="28"/>
                <w:szCs w:val="28"/>
                <w:lang w:val="zh-CN"/>
              </w:rPr>
              <w:t xml:space="preserve">交付时间： </w:t>
            </w:r>
          </w:p>
          <w:p>
            <w:pPr>
              <w:spacing w:line="440" w:lineRule="exact"/>
              <w:ind w:firstLine="280" w:firstLineChars="100"/>
              <w:rPr>
                <w:rFonts w:ascii="宋体" w:hAnsi="宋体"/>
                <w:b/>
                <w:color w:val="000000"/>
                <w:sz w:val="28"/>
                <w:szCs w:val="28"/>
              </w:rPr>
            </w:pPr>
            <w:r>
              <w:rPr>
                <w:rFonts w:hint="eastAsia"/>
                <w:color w:val="000000"/>
                <w:sz w:val="28"/>
                <w:szCs w:val="28"/>
                <w:lang w:val="zh-CN"/>
              </w:rPr>
              <w:t>实施地点：</w:t>
            </w:r>
            <w:r>
              <w:rPr>
                <w:rFonts w:hint="eastAsia" w:ascii="宋体" w:hAnsi="宋体"/>
                <w:color w:val="000000"/>
                <w:sz w:val="28"/>
                <w:szCs w:val="28"/>
              </w:rPr>
              <w:t>绵阳市中医医院指定地点</w:t>
            </w:r>
            <w:r>
              <w:rPr>
                <w:rFonts w:hint="eastAsia"/>
                <w:sz w:val="28"/>
                <w:szCs w:val="28"/>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721" w:hRule="exac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6</w:t>
            </w:r>
          </w:p>
        </w:tc>
        <w:tc>
          <w:tcPr>
            <w:tcW w:w="2310" w:type="dxa"/>
            <w:vAlign w:val="center"/>
          </w:tcPr>
          <w:p>
            <w:pPr>
              <w:pStyle w:val="78"/>
              <w:ind w:left="96"/>
              <w:jc w:val="center"/>
              <w:rPr>
                <w:color w:val="000000"/>
                <w:sz w:val="28"/>
                <w:szCs w:val="28"/>
                <w:lang w:val="zh-CN"/>
              </w:rPr>
            </w:pPr>
            <w:r>
              <w:rPr>
                <w:rFonts w:hint="eastAsia"/>
                <w:color w:val="000000"/>
                <w:sz w:val="28"/>
                <w:szCs w:val="28"/>
                <w:lang w:val="zh-CN"/>
              </w:rPr>
              <w:t>质量要求、验收标准</w:t>
            </w:r>
          </w:p>
        </w:tc>
        <w:tc>
          <w:tcPr>
            <w:tcW w:w="5481" w:type="dxa"/>
            <w:vAlign w:val="center"/>
          </w:tcPr>
          <w:p>
            <w:pPr>
              <w:pStyle w:val="78"/>
              <w:ind w:firstLine="280" w:firstLineChars="100"/>
              <w:jc w:val="both"/>
              <w:rPr>
                <w:color w:val="000000"/>
                <w:sz w:val="28"/>
                <w:szCs w:val="28"/>
              </w:rPr>
            </w:pPr>
            <w:r>
              <w:rPr>
                <w:rFonts w:hint="eastAsia"/>
                <w:color w:val="000000"/>
                <w:sz w:val="28"/>
                <w:szCs w:val="28"/>
                <w:lang w:val="zh-CN"/>
              </w:rPr>
              <w:t>质量要求：达到国家规定的地方政府债券“一案两书”编制要求</w:t>
            </w:r>
            <w:r>
              <w:rPr>
                <w:rFonts w:hint="eastAsia"/>
                <w:color w:val="000000"/>
                <w:sz w:val="28"/>
                <w:szCs w:val="28"/>
              </w:rPr>
              <w:t>。</w:t>
            </w:r>
          </w:p>
          <w:p>
            <w:pPr>
              <w:pStyle w:val="78"/>
              <w:ind w:firstLine="280" w:firstLineChars="100"/>
              <w:jc w:val="both"/>
              <w:rPr>
                <w:color w:val="000000"/>
                <w:sz w:val="28"/>
                <w:szCs w:val="28"/>
              </w:rPr>
            </w:pPr>
            <w:r>
              <w:rPr>
                <w:rFonts w:hint="eastAsia"/>
                <w:color w:val="000000"/>
                <w:sz w:val="28"/>
                <w:szCs w:val="28"/>
              </w:rPr>
              <w:t>验收标准：</w:t>
            </w:r>
            <w:r>
              <w:rPr>
                <w:rFonts w:hint="eastAsia"/>
                <w:color w:val="000000"/>
                <w:sz w:val="28"/>
                <w:szCs w:val="28"/>
                <w:lang w:val="zh-CN"/>
              </w:rPr>
              <w:t>进入地方政府债券发行备选库且发行成功。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589" w:hRule="atLeas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7</w:t>
            </w:r>
          </w:p>
        </w:tc>
        <w:tc>
          <w:tcPr>
            <w:tcW w:w="2310" w:type="dxa"/>
            <w:vAlign w:val="center"/>
          </w:tcPr>
          <w:p>
            <w:pPr>
              <w:pStyle w:val="78"/>
              <w:jc w:val="center"/>
              <w:rPr>
                <w:color w:val="000000"/>
                <w:sz w:val="28"/>
                <w:szCs w:val="28"/>
                <w:lang w:val="zh-CN"/>
              </w:rPr>
            </w:pPr>
            <w:r>
              <w:rPr>
                <w:rFonts w:hint="eastAsia"/>
                <w:color w:val="000000"/>
                <w:sz w:val="28"/>
                <w:szCs w:val="28"/>
                <w:lang w:val="zh-CN"/>
              </w:rPr>
              <w:t>联合体投标</w:t>
            </w:r>
          </w:p>
        </w:tc>
        <w:tc>
          <w:tcPr>
            <w:tcW w:w="5481" w:type="dxa"/>
            <w:vAlign w:val="center"/>
          </w:tcPr>
          <w:p>
            <w:pPr>
              <w:pStyle w:val="78"/>
              <w:ind w:left="210" w:leftChars="100"/>
              <w:rPr>
                <w:color w:val="000000"/>
                <w:sz w:val="28"/>
                <w:szCs w:val="28"/>
                <w:lang w:val="zh-CN"/>
              </w:rPr>
            </w:pPr>
            <w:r>
              <w:rPr>
                <w:rFonts w:hint="eastAsia"/>
                <w:color w:val="000000"/>
                <w:sz w:val="28"/>
                <w:szCs w:val="28"/>
              </w:rPr>
              <w:t>本项目</w:t>
            </w:r>
            <w:r>
              <w:rPr>
                <w:rFonts w:hint="eastAsia"/>
                <w:color w:val="000000"/>
                <w:sz w:val="28"/>
                <w:szCs w:val="28"/>
                <w:u w:val="single"/>
              </w:rPr>
              <w:t>不接受</w:t>
            </w:r>
            <w:r>
              <w:rPr>
                <w:rFonts w:hint="eastAsia"/>
                <w:color w:val="000000"/>
                <w:sz w:val="28"/>
                <w:szCs w:val="28"/>
              </w:rPr>
              <w:t>联合投标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1" w:hRule="atLeast"/>
          <w:jc w:val="center"/>
        </w:trPr>
        <w:tc>
          <w:tcPr>
            <w:tcW w:w="815" w:type="dxa"/>
            <w:vAlign w:val="center"/>
          </w:tcPr>
          <w:p>
            <w:pPr>
              <w:pStyle w:val="78"/>
              <w:ind w:right="230"/>
              <w:jc w:val="center"/>
              <w:rPr>
                <w:color w:val="000000"/>
                <w:sz w:val="28"/>
                <w:szCs w:val="28"/>
                <w:lang w:val="zh-CN"/>
              </w:rPr>
            </w:pPr>
            <w:r>
              <w:rPr>
                <w:rFonts w:hint="eastAsia"/>
                <w:color w:val="000000"/>
                <w:sz w:val="28"/>
                <w:szCs w:val="28"/>
                <w:lang w:val="zh-CN"/>
              </w:rPr>
              <w:t>8</w:t>
            </w:r>
          </w:p>
        </w:tc>
        <w:tc>
          <w:tcPr>
            <w:tcW w:w="2310" w:type="dxa"/>
            <w:vAlign w:val="center"/>
          </w:tcPr>
          <w:p>
            <w:pPr>
              <w:pStyle w:val="78"/>
              <w:jc w:val="center"/>
              <w:rPr>
                <w:color w:val="000000"/>
                <w:sz w:val="28"/>
                <w:szCs w:val="28"/>
                <w:lang w:val="zh-CN"/>
              </w:rPr>
            </w:pPr>
            <w:r>
              <w:rPr>
                <w:rFonts w:hint="eastAsia"/>
                <w:color w:val="000000"/>
                <w:sz w:val="28"/>
                <w:szCs w:val="28"/>
                <w:lang w:val="zh-CN"/>
              </w:rPr>
              <w:t>考察现场、标前答疑会</w:t>
            </w:r>
          </w:p>
        </w:tc>
        <w:tc>
          <w:tcPr>
            <w:tcW w:w="5481" w:type="dxa"/>
            <w:vAlign w:val="center"/>
          </w:tcPr>
          <w:p>
            <w:pPr>
              <w:pStyle w:val="78"/>
              <w:ind w:firstLine="280" w:firstLineChars="100"/>
              <w:rPr>
                <w:color w:val="000000"/>
                <w:sz w:val="28"/>
                <w:szCs w:val="28"/>
                <w:lang w:val="zh-CN"/>
              </w:rPr>
            </w:pPr>
            <w:r>
              <w:rPr>
                <w:rFonts w:hint="eastAsia"/>
                <w:color w:val="000000"/>
                <w:sz w:val="28"/>
                <w:szCs w:val="28"/>
                <w:lang w:val="zh-CN"/>
              </w:rPr>
              <w:t>自行咨询技术咨询电话询问。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144" w:hRule="exact"/>
          <w:jc w:val="center"/>
        </w:trPr>
        <w:tc>
          <w:tcPr>
            <w:tcW w:w="815" w:type="dxa"/>
            <w:vAlign w:val="center"/>
          </w:tcPr>
          <w:p>
            <w:pPr>
              <w:pStyle w:val="78"/>
              <w:ind w:right="264"/>
              <w:jc w:val="center"/>
              <w:rPr>
                <w:color w:val="000000"/>
                <w:sz w:val="28"/>
                <w:szCs w:val="28"/>
                <w:lang w:val="zh-CN"/>
              </w:rPr>
            </w:pPr>
            <w:r>
              <w:rPr>
                <w:rFonts w:hint="eastAsia"/>
                <w:color w:val="000000"/>
                <w:sz w:val="28"/>
                <w:szCs w:val="28"/>
                <w:lang w:val="zh-CN"/>
              </w:rPr>
              <w:t>9</w:t>
            </w:r>
          </w:p>
        </w:tc>
        <w:tc>
          <w:tcPr>
            <w:tcW w:w="2310" w:type="dxa"/>
            <w:vAlign w:val="center"/>
          </w:tcPr>
          <w:p>
            <w:pPr>
              <w:pStyle w:val="78"/>
              <w:jc w:val="center"/>
              <w:rPr>
                <w:color w:val="000000"/>
                <w:sz w:val="28"/>
                <w:szCs w:val="28"/>
                <w:lang w:val="zh-CN"/>
              </w:rPr>
            </w:pPr>
            <w:r>
              <w:rPr>
                <w:rFonts w:hint="eastAsia"/>
                <w:color w:val="000000"/>
                <w:sz w:val="28"/>
                <w:szCs w:val="28"/>
                <w:lang w:val="zh-CN"/>
              </w:rPr>
              <w:t>签字盖章</w:t>
            </w:r>
          </w:p>
        </w:tc>
        <w:tc>
          <w:tcPr>
            <w:tcW w:w="5481" w:type="dxa"/>
            <w:vAlign w:val="center"/>
          </w:tcPr>
          <w:p>
            <w:pPr>
              <w:pStyle w:val="78"/>
              <w:ind w:firstLine="280" w:firstLineChars="100"/>
              <w:rPr>
                <w:color w:val="000000"/>
                <w:sz w:val="28"/>
                <w:szCs w:val="28"/>
                <w:lang w:val="zh-CN"/>
              </w:rPr>
            </w:pPr>
            <w:r>
              <w:rPr>
                <w:rFonts w:hint="eastAsia"/>
                <w:color w:val="000000"/>
                <w:sz w:val="28"/>
                <w:szCs w:val="28"/>
                <w:lang w:val="zh-CN"/>
              </w:rPr>
              <w:t>供应商必须按照竞争性磋商文件的规定和要求签字、盖章（法人代表的签字可用具有法定效力的签字章）。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30" w:hRule="exact"/>
          <w:jc w:val="center"/>
        </w:trPr>
        <w:tc>
          <w:tcPr>
            <w:tcW w:w="815" w:type="dxa"/>
            <w:vAlign w:val="center"/>
          </w:tcPr>
          <w:p>
            <w:pPr>
              <w:pStyle w:val="78"/>
              <w:ind w:right="264"/>
              <w:jc w:val="center"/>
              <w:rPr>
                <w:color w:val="000000"/>
                <w:sz w:val="28"/>
                <w:szCs w:val="28"/>
                <w:lang w:val="zh-CN"/>
              </w:rPr>
            </w:pPr>
            <w:r>
              <w:rPr>
                <w:rFonts w:hint="eastAsia"/>
                <w:color w:val="000000"/>
                <w:sz w:val="28"/>
                <w:szCs w:val="28"/>
                <w:lang w:val="zh-CN"/>
              </w:rPr>
              <w:t>10</w:t>
            </w:r>
          </w:p>
        </w:tc>
        <w:tc>
          <w:tcPr>
            <w:tcW w:w="2310" w:type="dxa"/>
            <w:vAlign w:val="center"/>
          </w:tcPr>
          <w:p>
            <w:pPr>
              <w:pStyle w:val="78"/>
              <w:ind w:left="350" w:leftChars="167"/>
              <w:rPr>
                <w:color w:val="000000"/>
                <w:sz w:val="28"/>
                <w:szCs w:val="28"/>
                <w:lang w:val="zh-CN"/>
              </w:rPr>
            </w:pPr>
            <w:r>
              <w:rPr>
                <w:rFonts w:hint="eastAsia"/>
                <w:color w:val="000000"/>
                <w:sz w:val="28"/>
                <w:szCs w:val="28"/>
                <w:lang w:val="zh-CN"/>
              </w:rPr>
              <w:t>响应文件份数</w:t>
            </w:r>
          </w:p>
        </w:tc>
        <w:tc>
          <w:tcPr>
            <w:tcW w:w="5481" w:type="dxa"/>
            <w:vAlign w:val="center"/>
          </w:tcPr>
          <w:p>
            <w:pPr>
              <w:pStyle w:val="78"/>
              <w:ind w:firstLine="280" w:firstLineChars="100"/>
              <w:rPr>
                <w:b/>
                <w:color w:val="000000"/>
                <w:sz w:val="28"/>
                <w:szCs w:val="28"/>
                <w:u w:val="single"/>
                <w:lang w:val="zh-CN"/>
              </w:rPr>
            </w:pPr>
            <w:r>
              <w:rPr>
                <w:rFonts w:hint="eastAsia"/>
                <w:b/>
                <w:color w:val="000000"/>
                <w:sz w:val="28"/>
                <w:szCs w:val="28"/>
                <w:lang w:val="zh-CN"/>
              </w:rPr>
              <w:t>正本</w:t>
            </w:r>
            <w:r>
              <w:rPr>
                <w:rFonts w:hint="eastAsia"/>
                <w:b/>
                <w:color w:val="000000"/>
                <w:sz w:val="28"/>
                <w:szCs w:val="28"/>
                <w:u w:val="single"/>
                <w:lang w:val="zh-CN"/>
              </w:rPr>
              <w:t>1</w:t>
            </w:r>
            <w:r>
              <w:rPr>
                <w:rFonts w:hint="eastAsia"/>
                <w:b/>
                <w:color w:val="000000"/>
                <w:sz w:val="28"/>
                <w:szCs w:val="28"/>
                <w:lang w:val="zh-CN"/>
              </w:rPr>
              <w:t>份；副本</w:t>
            </w:r>
            <w:r>
              <w:rPr>
                <w:rFonts w:hint="eastAsia"/>
                <w:b/>
                <w:color w:val="000000"/>
                <w:sz w:val="28"/>
                <w:szCs w:val="28"/>
                <w:u w:val="single"/>
              </w:rPr>
              <w:t>3</w:t>
            </w:r>
            <w:r>
              <w:rPr>
                <w:rFonts w:hint="eastAsia"/>
                <w:b/>
                <w:color w:val="000000"/>
                <w:sz w:val="28"/>
                <w:szCs w:val="28"/>
                <w:lang w:val="zh-CN"/>
              </w:rPr>
              <w:t>份</w:t>
            </w:r>
            <w:r>
              <w:rPr>
                <w:rFonts w:hint="eastAsia"/>
                <w:b/>
                <w:color w:val="000000"/>
                <w:sz w:val="28"/>
                <w:szCs w:val="28"/>
              </w:rPr>
              <w:t>。</w:t>
            </w:r>
          </w:p>
        </w:tc>
      </w:tr>
    </w:tbl>
    <w:p>
      <w:pPr>
        <w:jc w:val="center"/>
        <w:rPr>
          <w:rFonts w:ascii="宋体" w:hAnsi="宋体"/>
          <w:bCs/>
          <w:color w:val="000000"/>
          <w:sz w:val="28"/>
          <w:szCs w:val="28"/>
        </w:rPr>
      </w:pPr>
    </w:p>
    <w:p>
      <w:pPr>
        <w:jc w:val="center"/>
        <w:rPr>
          <w:rFonts w:ascii="宋体" w:hAnsi="宋体"/>
          <w:bCs/>
          <w:color w:val="000000"/>
          <w:sz w:val="28"/>
          <w:szCs w:val="28"/>
        </w:rPr>
      </w:pPr>
    </w:p>
    <w:p>
      <w:pPr>
        <w:jc w:val="center"/>
        <w:rPr>
          <w:rFonts w:ascii="宋体" w:hAnsi="宋体"/>
          <w:bCs/>
          <w:color w:val="000000"/>
          <w:sz w:val="28"/>
          <w:szCs w:val="28"/>
        </w:rPr>
      </w:pPr>
    </w:p>
    <w:p>
      <w:pPr>
        <w:jc w:val="center"/>
        <w:rPr>
          <w:rFonts w:ascii="宋体" w:hAnsi="宋体"/>
          <w:bCs/>
          <w:color w:val="000000"/>
          <w:sz w:val="28"/>
          <w:szCs w:val="28"/>
        </w:rPr>
      </w:pPr>
    </w:p>
    <w:p>
      <w:pPr>
        <w:rPr>
          <w:rFonts w:ascii="宋体" w:hAnsi="宋体"/>
          <w:bCs/>
          <w:color w:val="000000"/>
          <w:sz w:val="28"/>
          <w:szCs w:val="28"/>
        </w:rPr>
      </w:pPr>
    </w:p>
    <w:p>
      <w:pPr>
        <w:spacing w:line="490" w:lineRule="exact"/>
        <w:jc w:val="center"/>
        <w:rPr>
          <w:rFonts w:ascii="宋体" w:hAnsi="宋体"/>
          <w:b/>
          <w:bCs/>
          <w:color w:val="000000"/>
          <w:sz w:val="30"/>
          <w:szCs w:val="30"/>
        </w:rPr>
      </w:pPr>
      <w:r>
        <w:rPr>
          <w:rFonts w:hint="eastAsia" w:ascii="宋体" w:hAnsi="宋体"/>
          <w:b/>
          <w:bCs/>
          <w:color w:val="000000"/>
          <w:sz w:val="30"/>
          <w:szCs w:val="30"/>
        </w:rPr>
        <w:t>二、供应商须知</w:t>
      </w:r>
    </w:p>
    <w:p>
      <w:pPr>
        <w:spacing w:line="490" w:lineRule="exact"/>
        <w:jc w:val="center"/>
        <w:rPr>
          <w:rFonts w:ascii="宋体" w:hAnsi="宋体"/>
          <w:bCs/>
          <w:color w:val="000000"/>
          <w:sz w:val="28"/>
          <w:szCs w:val="28"/>
        </w:rPr>
      </w:pPr>
    </w:p>
    <w:p>
      <w:pPr>
        <w:spacing w:line="480" w:lineRule="exact"/>
        <w:jc w:val="center"/>
        <w:rPr>
          <w:rFonts w:ascii="宋体" w:hAnsi="宋体"/>
          <w:b/>
          <w:color w:val="000000"/>
          <w:sz w:val="28"/>
          <w:szCs w:val="28"/>
        </w:rPr>
      </w:pPr>
      <w:r>
        <w:rPr>
          <w:rFonts w:hint="eastAsia" w:ascii="宋体" w:hAnsi="宋体"/>
          <w:b/>
          <w:color w:val="000000"/>
          <w:sz w:val="28"/>
          <w:szCs w:val="28"/>
        </w:rPr>
        <w:t>（一）说明及注意事项</w:t>
      </w:r>
    </w:p>
    <w:p>
      <w:pPr>
        <w:spacing w:line="480" w:lineRule="exact"/>
        <w:jc w:val="center"/>
        <w:rPr>
          <w:rFonts w:ascii="宋体" w:hAnsi="宋体"/>
          <w:b/>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　供应商资格</w:t>
      </w:r>
    </w:p>
    <w:p>
      <w:pPr>
        <w:spacing w:line="480" w:lineRule="exact"/>
        <w:ind w:firstLine="548" w:firstLineChars="196"/>
        <w:rPr>
          <w:rFonts w:ascii="宋体" w:hAnsi="宋体"/>
          <w:color w:val="000000"/>
          <w:sz w:val="28"/>
          <w:szCs w:val="28"/>
        </w:rPr>
      </w:pPr>
      <w:r>
        <w:rPr>
          <w:rFonts w:hint="eastAsia" w:ascii="宋体" w:hAnsi="宋体"/>
          <w:color w:val="000000"/>
          <w:sz w:val="28"/>
          <w:szCs w:val="28"/>
        </w:rPr>
        <w:t>1.1　获取磋商文件，完全满足磋商文件的实质性要求。</w:t>
      </w:r>
    </w:p>
    <w:p>
      <w:pPr>
        <w:spacing w:line="480" w:lineRule="exact"/>
        <w:ind w:firstLine="548" w:firstLineChars="196"/>
        <w:rPr>
          <w:rFonts w:ascii="宋体" w:hAnsi="宋体"/>
          <w:color w:val="000000"/>
          <w:sz w:val="28"/>
          <w:szCs w:val="28"/>
        </w:rPr>
      </w:pPr>
      <w:r>
        <w:rPr>
          <w:rFonts w:hint="eastAsia" w:ascii="宋体" w:hAnsi="宋体"/>
          <w:color w:val="000000"/>
          <w:sz w:val="28"/>
          <w:szCs w:val="28"/>
        </w:rPr>
        <w:t>1.2　有能力提供采购的货物及服务。</w:t>
      </w:r>
    </w:p>
    <w:p>
      <w:pPr>
        <w:spacing w:line="480" w:lineRule="exact"/>
        <w:rPr>
          <w:rFonts w:ascii="宋体" w:hAnsi="宋体"/>
          <w:color w:val="000000"/>
          <w:sz w:val="28"/>
          <w:szCs w:val="28"/>
        </w:rPr>
      </w:pPr>
      <w:r>
        <w:rPr>
          <w:rFonts w:hint="eastAsia" w:ascii="宋体" w:hAnsi="宋体"/>
          <w:color w:val="000000"/>
          <w:sz w:val="28"/>
          <w:szCs w:val="28"/>
        </w:rPr>
        <w:t xml:space="preserve">    1.3　遵守国家法律、行政法规，具有良好的信誉和诚实的商业道德。</w:t>
      </w:r>
    </w:p>
    <w:p>
      <w:pPr>
        <w:spacing w:line="480" w:lineRule="exact"/>
        <w:rPr>
          <w:rFonts w:ascii="宋体" w:hAnsi="宋体"/>
          <w:color w:val="000000"/>
          <w:sz w:val="28"/>
          <w:szCs w:val="28"/>
        </w:rPr>
      </w:pPr>
      <w:r>
        <w:rPr>
          <w:rFonts w:hint="eastAsia" w:ascii="宋体" w:hAnsi="宋体"/>
          <w:color w:val="000000"/>
          <w:sz w:val="28"/>
          <w:szCs w:val="28"/>
        </w:rPr>
        <w:t xml:space="preserve">    1.4  按照规定提交磋商保证金（本项目不缴纳）。</w:t>
      </w:r>
    </w:p>
    <w:p>
      <w:pPr>
        <w:spacing w:line="480" w:lineRule="exact"/>
        <w:ind w:firstLine="411" w:firstLineChars="147"/>
        <w:rPr>
          <w:rFonts w:ascii="宋体" w:hAnsi="宋体"/>
          <w:color w:val="000000"/>
          <w:sz w:val="28"/>
          <w:szCs w:val="28"/>
        </w:rPr>
      </w:pPr>
      <w:r>
        <w:rPr>
          <w:rFonts w:hint="eastAsia" w:ascii="宋体" w:hAnsi="宋体"/>
          <w:color w:val="000000"/>
          <w:sz w:val="28"/>
          <w:szCs w:val="28"/>
        </w:rPr>
        <w:t xml:space="preserve"> 1.5　生产或销售的产品符合中国政府规定的相应技术标准。</w:t>
      </w:r>
    </w:p>
    <w:p>
      <w:pPr>
        <w:spacing w:line="480" w:lineRule="exact"/>
        <w:ind w:firstLine="548" w:firstLineChars="196"/>
        <w:rPr>
          <w:rFonts w:ascii="宋体" w:hAnsi="宋体"/>
          <w:color w:val="000000"/>
          <w:sz w:val="28"/>
          <w:szCs w:val="28"/>
        </w:rPr>
      </w:pPr>
      <w:r>
        <w:rPr>
          <w:rFonts w:hint="eastAsia" w:ascii="宋体" w:hAnsi="宋体"/>
          <w:color w:val="000000"/>
          <w:sz w:val="28"/>
          <w:szCs w:val="28"/>
        </w:rPr>
        <w:t>1.6  符合本竞争性磋商文件资质要求。</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2.参加磋商费用</w:t>
      </w:r>
    </w:p>
    <w:p>
      <w:pPr>
        <w:spacing w:line="480" w:lineRule="exact"/>
        <w:ind w:firstLine="450"/>
        <w:rPr>
          <w:rFonts w:ascii="宋体" w:hAnsi="宋体"/>
          <w:color w:val="000000"/>
          <w:sz w:val="28"/>
          <w:szCs w:val="28"/>
        </w:rPr>
      </w:pPr>
      <w:r>
        <w:rPr>
          <w:rFonts w:hint="eastAsia" w:ascii="宋体" w:hAnsi="宋体"/>
          <w:color w:val="000000"/>
          <w:sz w:val="28"/>
          <w:szCs w:val="28"/>
        </w:rPr>
        <w:t>无论磋商过程中的做法和结果如何，磋商方自行承担所有与参加磋商有关的全部费用。</w:t>
      </w:r>
    </w:p>
    <w:p>
      <w:pPr>
        <w:spacing w:line="480" w:lineRule="exact"/>
        <w:rPr>
          <w:rFonts w:ascii="宋体" w:hAnsi="宋体"/>
          <w:color w:val="000000"/>
          <w:sz w:val="28"/>
          <w:szCs w:val="28"/>
        </w:rPr>
      </w:pPr>
    </w:p>
    <w:p>
      <w:pPr>
        <w:spacing w:line="480" w:lineRule="exact"/>
        <w:jc w:val="center"/>
        <w:rPr>
          <w:rFonts w:ascii="宋体" w:hAnsi="宋体"/>
          <w:b/>
          <w:color w:val="000000"/>
          <w:sz w:val="28"/>
          <w:szCs w:val="28"/>
        </w:rPr>
      </w:pPr>
      <w:r>
        <w:rPr>
          <w:rFonts w:hint="eastAsia" w:ascii="宋体" w:hAnsi="宋体"/>
          <w:b/>
          <w:color w:val="000000"/>
          <w:sz w:val="28"/>
          <w:szCs w:val="28"/>
        </w:rPr>
        <w:t>（二）响应文件的编写</w:t>
      </w:r>
    </w:p>
    <w:p>
      <w:pPr>
        <w:spacing w:line="480" w:lineRule="exact"/>
        <w:jc w:val="center"/>
        <w:rPr>
          <w:rFonts w:ascii="宋体" w:hAnsi="宋体"/>
          <w:b/>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1.要求：</w:t>
      </w:r>
    </w:p>
    <w:p>
      <w:pPr>
        <w:spacing w:line="480" w:lineRule="exact"/>
        <w:ind w:firstLine="554" w:firstLineChars="198"/>
        <w:rPr>
          <w:rFonts w:ascii="宋体" w:hAnsi="宋体"/>
          <w:color w:val="000000"/>
          <w:sz w:val="28"/>
          <w:szCs w:val="28"/>
        </w:rPr>
      </w:pPr>
      <w:r>
        <w:rPr>
          <w:rFonts w:hint="eastAsia" w:ascii="宋体" w:hAnsi="宋体"/>
          <w:color w:val="000000"/>
          <w:sz w:val="28"/>
          <w:szCs w:val="28"/>
        </w:rPr>
        <w:t>1.1供应商应仔细阅读磋商文件的所有内容，按磋商文件的要求提供响应文件，并保证所提供的全部资料真实有效；</w:t>
      </w:r>
    </w:p>
    <w:p>
      <w:pPr>
        <w:spacing w:line="480" w:lineRule="exact"/>
        <w:ind w:firstLine="554" w:firstLineChars="198"/>
        <w:rPr>
          <w:rFonts w:ascii="宋体" w:hAnsi="宋体"/>
          <w:color w:val="000000"/>
          <w:sz w:val="28"/>
          <w:szCs w:val="28"/>
        </w:rPr>
      </w:pPr>
      <w:r>
        <w:rPr>
          <w:rFonts w:hint="eastAsia" w:ascii="宋体" w:hAnsi="宋体"/>
          <w:color w:val="000000"/>
          <w:sz w:val="28"/>
          <w:szCs w:val="28"/>
        </w:rPr>
        <w:t>1.2响应文件的书面内容不得涂抹或改写；</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2响应文件由以下部分构成:</w:t>
      </w:r>
    </w:p>
    <w:p>
      <w:pPr>
        <w:tabs>
          <w:tab w:val="left" w:pos="525"/>
          <w:tab w:val="left" w:pos="1050"/>
        </w:tabs>
        <w:spacing w:line="480" w:lineRule="exact"/>
        <w:ind w:left="1" w:firstLine="560" w:firstLineChars="200"/>
        <w:rPr>
          <w:rFonts w:ascii="宋体" w:hAnsi="宋体"/>
          <w:bCs/>
          <w:color w:val="000000"/>
          <w:sz w:val="28"/>
          <w:szCs w:val="28"/>
        </w:rPr>
      </w:pPr>
      <w:r>
        <w:rPr>
          <w:rFonts w:hint="eastAsia" w:ascii="宋体" w:hAnsi="宋体"/>
          <w:bCs/>
          <w:color w:val="000000"/>
          <w:sz w:val="28"/>
          <w:szCs w:val="28"/>
        </w:rPr>
        <w:t>2.1证明文件：</w:t>
      </w:r>
    </w:p>
    <w:p>
      <w:pPr>
        <w:tabs>
          <w:tab w:val="left" w:pos="525"/>
          <w:tab w:val="left" w:pos="1050"/>
        </w:tabs>
        <w:spacing w:line="480" w:lineRule="exact"/>
        <w:ind w:left="1" w:firstLine="560" w:firstLineChars="200"/>
        <w:rPr>
          <w:rFonts w:ascii="宋体" w:hAnsi="宋体"/>
          <w:bCs/>
          <w:color w:val="000000"/>
          <w:sz w:val="28"/>
          <w:szCs w:val="28"/>
        </w:rPr>
      </w:pPr>
      <w:r>
        <w:rPr>
          <w:rFonts w:hint="eastAsia" w:ascii="宋体" w:hAnsi="宋体"/>
          <w:bCs/>
          <w:color w:val="000000"/>
          <w:sz w:val="28"/>
          <w:szCs w:val="28"/>
        </w:rPr>
        <w:t>2.1.1资格证明文件</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2.1.1.1供应商有效期内企业法人营业执照副本复印件、相关资质证明文件复印件；</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2.1.1.2供应商法定代表人授权委托书</w:t>
      </w:r>
      <w:r>
        <w:rPr>
          <w:rFonts w:hint="eastAsia" w:ascii="宋体" w:hAnsi="宋体"/>
          <w:color w:val="000000"/>
          <w:sz w:val="28"/>
          <w:szCs w:val="28"/>
        </w:rPr>
        <w:t>（</w:t>
      </w:r>
      <w:r>
        <w:rPr>
          <w:rFonts w:hint="eastAsia" w:ascii="宋体" w:hAnsi="宋体"/>
          <w:b/>
          <w:bCs/>
          <w:color w:val="000000"/>
          <w:sz w:val="28"/>
          <w:szCs w:val="28"/>
        </w:rPr>
        <w:t>法定代表人亲自参与磋商的除外</w:t>
      </w:r>
      <w:r>
        <w:rPr>
          <w:rFonts w:hint="eastAsia" w:ascii="宋体" w:hAnsi="宋体"/>
          <w:color w:val="000000"/>
          <w:sz w:val="28"/>
          <w:szCs w:val="28"/>
        </w:rPr>
        <w:t>）；</w:t>
      </w:r>
    </w:p>
    <w:p>
      <w:pPr>
        <w:spacing w:line="480" w:lineRule="exact"/>
        <w:ind w:firstLine="560" w:firstLineChars="200"/>
        <w:rPr>
          <w:rFonts w:ascii="宋体" w:hAnsi="宋体"/>
          <w:color w:val="000000"/>
          <w:sz w:val="28"/>
          <w:szCs w:val="28"/>
        </w:rPr>
      </w:pPr>
      <w:r>
        <w:rPr>
          <w:rFonts w:hint="eastAsia" w:ascii="宋体" w:hAnsi="宋体"/>
          <w:bCs/>
          <w:color w:val="000000"/>
          <w:sz w:val="28"/>
          <w:szCs w:val="28"/>
        </w:rPr>
        <w:t>2.1.1.3供应商法定代表人身份证复印件及法定代表人授权代表身份证复印件</w:t>
      </w:r>
      <w:r>
        <w:rPr>
          <w:rFonts w:hint="eastAsia" w:ascii="宋体" w:hAnsi="宋体"/>
          <w:color w:val="000000"/>
          <w:sz w:val="28"/>
          <w:szCs w:val="28"/>
        </w:rPr>
        <w:t>（</w:t>
      </w:r>
      <w:r>
        <w:rPr>
          <w:rFonts w:hint="eastAsia" w:ascii="宋体" w:hAnsi="宋体"/>
          <w:b/>
          <w:bCs/>
          <w:color w:val="000000"/>
          <w:sz w:val="28"/>
          <w:szCs w:val="28"/>
        </w:rPr>
        <w:t>磋商时必须携带参加磋商会议的法定代表人或法定代表人授权代表有效身份证明原件</w:t>
      </w:r>
      <w:r>
        <w:rPr>
          <w:rFonts w:hint="eastAsia" w:ascii="宋体" w:hAnsi="宋体"/>
          <w:color w:val="000000"/>
          <w:sz w:val="28"/>
          <w:szCs w:val="28"/>
        </w:rPr>
        <w:t>）；</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2.1.1.4承诺函。</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2.2报价表</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2.3采购需求响应表</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2.4如有以下文件自拟并自行添加至竞标函中：</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2.4.1要求需方提供的配合；</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2.4.2其它（供应商认为有必要提供的声明和文件）。</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2.4.3结合评分办法需提交的其他资料。</w:t>
      </w:r>
    </w:p>
    <w:p>
      <w:pPr>
        <w:tabs>
          <w:tab w:val="left" w:pos="1050"/>
        </w:tabs>
        <w:spacing w:line="480" w:lineRule="exact"/>
        <w:rPr>
          <w:rFonts w:ascii="宋体" w:hAnsi="宋体"/>
          <w:bCs/>
          <w:color w:val="000000"/>
          <w:sz w:val="28"/>
          <w:szCs w:val="28"/>
        </w:rPr>
      </w:pPr>
      <w:r>
        <w:rPr>
          <w:rFonts w:hint="eastAsia" w:ascii="宋体" w:hAnsi="宋体"/>
          <w:bCs/>
          <w:color w:val="000000"/>
          <w:sz w:val="28"/>
          <w:szCs w:val="28"/>
        </w:rPr>
        <w:t>3.响应要求：</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3.1所有文件、往来函件均应使用简体中文（规格、型号辅助符号例外）。</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3.2响应文件由供应商按给定格式如实填写（编写），须有法人（盖章）、法定代表人或法定代表人授权代表签字或盖章，方为有效，未尽事宜可自行补充。</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3.3如无特别说明，供应商报价一律以人民币为报价结算货币,结算单位为“元”。</w:t>
      </w:r>
    </w:p>
    <w:p>
      <w:pPr>
        <w:tabs>
          <w:tab w:val="left" w:pos="1050"/>
        </w:tabs>
        <w:spacing w:line="480" w:lineRule="exact"/>
        <w:ind w:firstLine="560" w:firstLineChars="200"/>
        <w:rPr>
          <w:rFonts w:ascii="宋体" w:hAnsi="宋体"/>
          <w:sz w:val="28"/>
          <w:szCs w:val="28"/>
        </w:rPr>
      </w:pPr>
      <w:r>
        <w:rPr>
          <w:rFonts w:hint="eastAsia" w:ascii="宋体" w:hAnsi="宋体"/>
          <w:bCs/>
          <w:color w:val="000000"/>
          <w:sz w:val="28"/>
          <w:szCs w:val="28"/>
        </w:rPr>
        <w:t>3.4响应文件格式部分，应由供应商按给定格式提供，不得更改。</w:t>
      </w:r>
      <w:r>
        <w:rPr>
          <w:rFonts w:hint="eastAsia" w:ascii="宋体" w:hAnsi="宋体"/>
          <w:color w:val="000000"/>
          <w:sz w:val="28"/>
          <w:szCs w:val="28"/>
        </w:rPr>
        <w:t>响应报价（磋商最终价）为含税价</w:t>
      </w:r>
      <w:r>
        <w:rPr>
          <w:rFonts w:hint="eastAsia" w:ascii="宋体" w:hAnsi="宋体"/>
          <w:sz w:val="28"/>
          <w:szCs w:val="28"/>
        </w:rPr>
        <w:t>（</w:t>
      </w:r>
      <w:r>
        <w:rPr>
          <w:rFonts w:hint="eastAsia" w:ascii="宋体" w:hAnsi="宋体"/>
          <w:color w:val="000000"/>
          <w:sz w:val="28"/>
          <w:szCs w:val="28"/>
        </w:rPr>
        <w:t>包括</w:t>
      </w:r>
      <w:r>
        <w:rPr>
          <w:rFonts w:hint="eastAsia" w:ascii="宋体" w:hAnsi="宋体"/>
          <w:bCs/>
          <w:color w:val="000000"/>
          <w:sz w:val="28"/>
          <w:szCs w:val="28"/>
        </w:rPr>
        <w:t>服务相关、税费等全部费用</w:t>
      </w:r>
      <w:r>
        <w:rPr>
          <w:rFonts w:hint="eastAsia" w:ascii="宋体" w:hAnsi="宋体"/>
          <w:sz w:val="28"/>
          <w:szCs w:val="28"/>
        </w:rPr>
        <w:t>）。</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sz w:val="28"/>
          <w:szCs w:val="28"/>
        </w:rPr>
        <w:t>3.5响应文件不应有涂改、增删和潦草之处，如有</w:t>
      </w:r>
      <w:r>
        <w:rPr>
          <w:rFonts w:hint="eastAsia" w:ascii="宋体" w:hAnsi="宋体"/>
          <w:bCs/>
          <w:color w:val="000000"/>
          <w:sz w:val="28"/>
          <w:szCs w:val="28"/>
        </w:rPr>
        <w:t>必须修改时，修改处必须有法人章、法定代表人或法定代表人授权代表的签字。</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4.无效响应文件的确认：</w:t>
      </w:r>
    </w:p>
    <w:p>
      <w:pPr>
        <w:tabs>
          <w:tab w:val="left" w:pos="1050"/>
        </w:tabs>
        <w:spacing w:line="480" w:lineRule="exact"/>
        <w:ind w:firstLine="733" w:firstLineChars="262"/>
        <w:rPr>
          <w:rFonts w:ascii="宋体" w:hAnsi="宋体"/>
          <w:bCs/>
          <w:color w:val="000000"/>
          <w:sz w:val="28"/>
          <w:szCs w:val="28"/>
        </w:rPr>
      </w:pPr>
      <w:r>
        <w:rPr>
          <w:rFonts w:hint="eastAsia" w:ascii="宋体" w:hAnsi="宋体"/>
          <w:bCs/>
          <w:color w:val="000000"/>
          <w:sz w:val="28"/>
          <w:szCs w:val="28"/>
        </w:rPr>
        <w:t>供应商有下列情况之一者，其响应文件无效；</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w:t>
      </w:r>
      <w:r>
        <w:rPr>
          <w:rFonts w:hint="eastAsia" w:ascii="宋体" w:hAnsi="宋体"/>
          <w:bCs/>
          <w:color w:val="000000"/>
          <w:sz w:val="28"/>
          <w:szCs w:val="28"/>
        </w:rPr>
        <w:tab/>
      </w:r>
      <w:r>
        <w:rPr>
          <w:rFonts w:hint="eastAsia" w:ascii="宋体" w:hAnsi="宋体"/>
          <w:bCs/>
          <w:color w:val="000000"/>
          <w:sz w:val="28"/>
          <w:szCs w:val="28"/>
        </w:rPr>
        <w:t>未按规定交纳磋商保证金的；</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4.2响应文件未按规定的期限、地点送达的；</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4.3响应文件未按要求密封、签署、盖章的；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4.4</w:t>
      </w:r>
      <w:r>
        <w:rPr>
          <w:rFonts w:hint="eastAsia" w:ascii="宋体" w:hAnsi="宋体"/>
          <w:bCs/>
          <w:color w:val="000000"/>
          <w:sz w:val="28"/>
          <w:szCs w:val="28"/>
        </w:rPr>
        <w:tab/>
      </w:r>
      <w:r>
        <w:rPr>
          <w:rFonts w:hint="eastAsia" w:ascii="宋体" w:hAnsi="宋体"/>
          <w:bCs/>
          <w:color w:val="000000"/>
          <w:sz w:val="28"/>
          <w:szCs w:val="28"/>
        </w:rPr>
        <w:t>供应商的法定代表人或法定代表人授权代表，未准时参加磋商会议的；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4.5</w:t>
      </w:r>
      <w:r>
        <w:rPr>
          <w:rFonts w:hint="eastAsia" w:ascii="宋体" w:hAnsi="宋体"/>
          <w:bCs/>
          <w:color w:val="000000"/>
          <w:sz w:val="28"/>
          <w:szCs w:val="28"/>
        </w:rPr>
        <w:tab/>
      </w:r>
      <w:r>
        <w:rPr>
          <w:rFonts w:hint="eastAsia" w:ascii="宋体" w:hAnsi="宋体"/>
          <w:bCs/>
          <w:color w:val="000000"/>
          <w:sz w:val="28"/>
          <w:szCs w:val="28"/>
        </w:rPr>
        <w:t>供应商的法定代表人授权代表，无法定代表人授权委托书的；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4.6</w:t>
      </w:r>
      <w:r>
        <w:rPr>
          <w:rFonts w:hint="eastAsia" w:ascii="宋体" w:hAnsi="宋体"/>
          <w:bCs/>
          <w:color w:val="000000"/>
          <w:sz w:val="28"/>
          <w:szCs w:val="28"/>
        </w:rPr>
        <w:tab/>
      </w:r>
      <w:r>
        <w:rPr>
          <w:rFonts w:hint="eastAsia" w:ascii="宋体" w:hAnsi="宋体"/>
          <w:bCs/>
          <w:color w:val="000000"/>
          <w:sz w:val="28"/>
          <w:szCs w:val="28"/>
        </w:rPr>
        <w:t>不具备磋商文件中规定的资格要求及未按采购文件规定的要求提供资格证明文件的；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4.7</w:t>
      </w:r>
      <w:r>
        <w:rPr>
          <w:rFonts w:hint="eastAsia" w:ascii="宋体" w:hAnsi="宋体"/>
          <w:bCs/>
          <w:color w:val="000000"/>
          <w:sz w:val="28"/>
          <w:szCs w:val="28"/>
        </w:rPr>
        <w:tab/>
      </w:r>
      <w:r>
        <w:rPr>
          <w:rFonts w:hint="eastAsia" w:ascii="宋体" w:hAnsi="宋体"/>
          <w:bCs/>
          <w:color w:val="000000"/>
          <w:sz w:val="28"/>
          <w:szCs w:val="28"/>
        </w:rPr>
        <w:t>响应文件未按磋商文件规定的格式、内容和要求填写的；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4.8</w:t>
      </w:r>
      <w:r>
        <w:rPr>
          <w:rFonts w:hint="eastAsia" w:ascii="宋体" w:hAnsi="宋体"/>
          <w:bCs/>
          <w:color w:val="000000"/>
          <w:sz w:val="28"/>
          <w:szCs w:val="28"/>
        </w:rPr>
        <w:tab/>
      </w:r>
      <w:r>
        <w:rPr>
          <w:rFonts w:hint="eastAsia" w:ascii="宋体" w:hAnsi="宋体"/>
          <w:bCs/>
          <w:color w:val="000000"/>
          <w:sz w:val="28"/>
          <w:szCs w:val="28"/>
        </w:rPr>
        <w:t>响应文件书写潦草、字迹模糊不清、无法辨认的；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4.9</w:t>
      </w:r>
      <w:r>
        <w:rPr>
          <w:rFonts w:hint="eastAsia" w:ascii="宋体" w:hAnsi="宋体"/>
          <w:bCs/>
          <w:color w:val="000000"/>
          <w:sz w:val="28"/>
          <w:szCs w:val="28"/>
        </w:rPr>
        <w:tab/>
      </w:r>
      <w:r>
        <w:rPr>
          <w:rFonts w:hint="eastAsia" w:ascii="宋体" w:hAnsi="宋体"/>
          <w:bCs/>
          <w:color w:val="000000"/>
          <w:sz w:val="28"/>
          <w:szCs w:val="28"/>
        </w:rPr>
        <w:t>响应文件中有磋商文件未允许提供的选择性内容的；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4.10不同供应商响应文件相互混装的；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4.11不同供应商响应文件中的项目相关人员出现同一人的；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4.12不同供应商聘请同一人为其磋商提供技术或经济咨询服务的；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 xml:space="preserve">4.13不同供应商的响应文件内容出现非正常一致的； </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4.14不同供应商报价细目呈明显规律性变化，故意哄抬价格或压价等其它恶意串通报价的；</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4.15提供虚假材料的（包括工商营业执照、财务报表、资格证明文件等）；</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4.16响应文件内容不全或不符合法律法规和采购文件中规定的其它实质性要求的。</w:t>
      </w:r>
    </w:p>
    <w:p>
      <w:pPr>
        <w:spacing w:line="480" w:lineRule="exact"/>
        <w:jc w:val="center"/>
        <w:rPr>
          <w:rFonts w:ascii="宋体" w:hAnsi="宋体"/>
          <w:b/>
          <w:color w:val="000000"/>
          <w:sz w:val="28"/>
          <w:szCs w:val="28"/>
        </w:rPr>
      </w:pPr>
      <w:r>
        <w:rPr>
          <w:rFonts w:hint="eastAsia" w:ascii="宋体" w:hAnsi="宋体"/>
          <w:b/>
          <w:color w:val="000000"/>
          <w:sz w:val="28"/>
          <w:szCs w:val="28"/>
        </w:rPr>
        <w:t>（三）响应文件的递交</w:t>
      </w:r>
    </w:p>
    <w:p>
      <w:pPr>
        <w:spacing w:line="480" w:lineRule="exact"/>
        <w:jc w:val="center"/>
        <w:rPr>
          <w:rFonts w:ascii="宋体" w:hAnsi="宋体"/>
          <w:b/>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1.响应文件的密封和标记</w:t>
      </w:r>
    </w:p>
    <w:p>
      <w:pPr>
        <w:spacing w:line="480" w:lineRule="exact"/>
        <w:ind w:firstLine="554" w:firstLineChars="198"/>
        <w:rPr>
          <w:rFonts w:ascii="宋体" w:hAnsi="宋体"/>
          <w:color w:val="000000"/>
          <w:sz w:val="28"/>
          <w:szCs w:val="28"/>
        </w:rPr>
      </w:pPr>
      <w:r>
        <w:rPr>
          <w:rFonts w:hint="eastAsia" w:ascii="宋体" w:hAnsi="宋体"/>
          <w:color w:val="000000"/>
          <w:sz w:val="28"/>
          <w:szCs w:val="28"/>
        </w:rPr>
        <w:t>1.1响应文件应进行密封，并在封面注明磋商编号、磋商项目。</w:t>
      </w:r>
    </w:p>
    <w:p>
      <w:pPr>
        <w:spacing w:line="480" w:lineRule="exact"/>
        <w:ind w:firstLine="600"/>
        <w:rPr>
          <w:rFonts w:ascii="宋体" w:hAnsi="宋体"/>
          <w:color w:val="000000"/>
          <w:sz w:val="28"/>
          <w:szCs w:val="28"/>
        </w:rPr>
      </w:pPr>
      <w:r>
        <w:rPr>
          <w:rFonts w:hint="eastAsia" w:ascii="宋体" w:hAnsi="宋体"/>
          <w:color w:val="000000"/>
          <w:sz w:val="28"/>
          <w:szCs w:val="28"/>
        </w:rPr>
        <w:t>1.2 响应文件要求：</w:t>
      </w:r>
      <w:r>
        <w:rPr>
          <w:rFonts w:hint="eastAsia" w:ascii="宋体" w:hAnsi="宋体"/>
          <w:b/>
          <w:color w:val="000000"/>
          <w:sz w:val="28"/>
          <w:szCs w:val="28"/>
        </w:rPr>
        <w:t>正本</w:t>
      </w:r>
      <w:r>
        <w:rPr>
          <w:rFonts w:hint="eastAsia" w:ascii="宋体" w:hAnsi="宋体"/>
          <w:b/>
          <w:color w:val="000000"/>
          <w:sz w:val="28"/>
          <w:szCs w:val="28"/>
          <w:u w:val="single"/>
        </w:rPr>
        <w:t>1</w:t>
      </w:r>
      <w:r>
        <w:rPr>
          <w:rFonts w:hint="eastAsia" w:ascii="宋体" w:hAnsi="宋体"/>
          <w:b/>
          <w:color w:val="000000"/>
          <w:sz w:val="28"/>
          <w:szCs w:val="28"/>
        </w:rPr>
        <w:t>份、副本</w:t>
      </w:r>
      <w:r>
        <w:rPr>
          <w:rFonts w:hint="eastAsia" w:ascii="宋体" w:hAnsi="宋体"/>
          <w:b/>
          <w:color w:val="000000"/>
          <w:sz w:val="28"/>
          <w:szCs w:val="28"/>
          <w:u w:val="single"/>
        </w:rPr>
        <w:t>2</w:t>
      </w:r>
      <w:r>
        <w:rPr>
          <w:rFonts w:hint="eastAsia" w:ascii="宋体" w:hAnsi="宋体"/>
          <w:b/>
          <w:color w:val="000000"/>
          <w:sz w:val="28"/>
          <w:szCs w:val="28"/>
        </w:rPr>
        <w:t>份</w:t>
      </w:r>
      <w:r>
        <w:rPr>
          <w:rFonts w:hint="eastAsia" w:ascii="宋体" w:hAnsi="宋体"/>
          <w:color w:val="000000"/>
          <w:sz w:val="28"/>
          <w:szCs w:val="28"/>
        </w:rPr>
        <w:t>。</w:t>
      </w:r>
    </w:p>
    <w:p>
      <w:pPr>
        <w:spacing w:line="480" w:lineRule="exact"/>
        <w:ind w:firstLine="600"/>
        <w:rPr>
          <w:rFonts w:ascii="宋体" w:hAnsi="宋体"/>
          <w:color w:val="000000"/>
          <w:sz w:val="28"/>
          <w:szCs w:val="28"/>
        </w:rPr>
      </w:pPr>
      <w:r>
        <w:rPr>
          <w:rFonts w:hint="eastAsia" w:ascii="宋体" w:hAnsi="宋体"/>
          <w:color w:val="000000"/>
          <w:sz w:val="28"/>
          <w:szCs w:val="28"/>
        </w:rPr>
        <w:t>1.３响应文件的正本和副本一律用A4纸（图、表及证件可以除外）编制和复印。</w:t>
      </w:r>
    </w:p>
    <w:p>
      <w:pPr>
        <w:spacing w:line="480" w:lineRule="exact"/>
        <w:ind w:firstLine="600"/>
        <w:rPr>
          <w:rFonts w:ascii="宋体" w:hAnsi="宋体"/>
          <w:color w:val="000000"/>
          <w:sz w:val="28"/>
          <w:szCs w:val="28"/>
        </w:rPr>
      </w:pPr>
      <w:r>
        <w:rPr>
          <w:rFonts w:hint="eastAsia" w:ascii="宋体" w:hAnsi="宋体"/>
          <w:color w:val="000000"/>
          <w:sz w:val="28"/>
          <w:szCs w:val="28"/>
        </w:rPr>
        <w:t>响应文件的正本和副本应采用粘贴方式左侧装订。</w:t>
      </w:r>
    </w:p>
    <w:p>
      <w:pPr>
        <w:spacing w:line="480" w:lineRule="exact"/>
        <w:ind w:firstLine="600"/>
        <w:rPr>
          <w:rFonts w:ascii="宋体" w:hAnsi="宋体"/>
          <w:color w:val="000000"/>
          <w:sz w:val="28"/>
          <w:szCs w:val="28"/>
        </w:rPr>
      </w:pPr>
      <w:r>
        <w:rPr>
          <w:rFonts w:hint="eastAsia" w:ascii="宋体" w:hAnsi="宋体"/>
          <w:color w:val="000000"/>
          <w:sz w:val="28"/>
          <w:szCs w:val="28"/>
        </w:rPr>
        <w:t>投标文件中的证明、证件及附件等应集中紧附在相应正文内容后面，并尽量与前面正文部分的顺序相对应。</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2.响应文件的递交、修改和撤回</w:t>
      </w:r>
    </w:p>
    <w:p>
      <w:pPr>
        <w:spacing w:line="480" w:lineRule="exact"/>
        <w:rPr>
          <w:rFonts w:ascii="宋体" w:hAnsi="宋体"/>
          <w:color w:val="000000"/>
          <w:sz w:val="28"/>
          <w:szCs w:val="28"/>
        </w:rPr>
      </w:pPr>
      <w:r>
        <w:rPr>
          <w:rFonts w:hint="eastAsia" w:ascii="宋体" w:hAnsi="宋体"/>
          <w:color w:val="000000"/>
          <w:sz w:val="28"/>
          <w:szCs w:val="28"/>
        </w:rPr>
        <w:t xml:space="preserve">    2.1供应商应在磋商截止时间前将密封合格的响应文件送达绵阳市中医医院指定地点；电报、电话、传真的响应概不接受；</w:t>
      </w:r>
    </w:p>
    <w:p>
      <w:pPr>
        <w:spacing w:line="480" w:lineRule="exact"/>
        <w:rPr>
          <w:rFonts w:ascii="宋体" w:hAnsi="宋体"/>
          <w:color w:val="000000"/>
          <w:sz w:val="28"/>
          <w:szCs w:val="28"/>
        </w:rPr>
      </w:pPr>
      <w:r>
        <w:rPr>
          <w:rFonts w:hint="eastAsia" w:ascii="宋体" w:hAnsi="宋体"/>
          <w:color w:val="000000"/>
          <w:sz w:val="28"/>
          <w:szCs w:val="28"/>
        </w:rPr>
        <w:t xml:space="preserve">    2.2已提交响应文件的供应商，在提交最后报价之前，可以根据磋商情况退出磋商</w:t>
      </w:r>
    </w:p>
    <w:p>
      <w:pPr>
        <w:spacing w:line="480" w:lineRule="exact"/>
        <w:jc w:val="center"/>
        <w:rPr>
          <w:rFonts w:ascii="宋体" w:hAnsi="宋体"/>
          <w:b/>
          <w:color w:val="000000"/>
          <w:sz w:val="28"/>
          <w:szCs w:val="28"/>
        </w:rPr>
      </w:pPr>
      <w:r>
        <w:rPr>
          <w:rFonts w:hint="eastAsia" w:ascii="宋体" w:hAnsi="宋体"/>
          <w:b/>
          <w:color w:val="000000"/>
          <w:sz w:val="28"/>
          <w:szCs w:val="28"/>
        </w:rPr>
        <w:t>（四）</w:t>
      </w:r>
      <w:bookmarkStart w:id="6" w:name="_Toc153080539"/>
      <w:r>
        <w:rPr>
          <w:rFonts w:hint="eastAsia" w:ascii="宋体" w:hAnsi="宋体"/>
          <w:b/>
          <w:color w:val="000000"/>
          <w:sz w:val="28"/>
          <w:szCs w:val="28"/>
        </w:rPr>
        <w:t>磋商程序</w:t>
      </w:r>
      <w:bookmarkEnd w:id="6"/>
    </w:p>
    <w:p>
      <w:pPr>
        <w:spacing w:line="480" w:lineRule="exact"/>
        <w:jc w:val="center"/>
        <w:rPr>
          <w:rFonts w:ascii="宋体" w:hAnsi="宋体"/>
          <w:b/>
          <w:color w:val="000000"/>
          <w:sz w:val="28"/>
          <w:szCs w:val="28"/>
        </w:rPr>
      </w:pPr>
    </w:p>
    <w:p>
      <w:pPr>
        <w:tabs>
          <w:tab w:val="left" w:pos="630"/>
          <w:tab w:val="left" w:pos="1050"/>
        </w:tabs>
        <w:spacing w:line="480" w:lineRule="exact"/>
        <w:ind w:left="1" w:firstLine="560" w:firstLineChars="200"/>
        <w:rPr>
          <w:rFonts w:ascii="宋体" w:hAnsi="宋体"/>
          <w:bCs/>
          <w:color w:val="000000"/>
          <w:sz w:val="28"/>
          <w:szCs w:val="28"/>
        </w:rPr>
      </w:pPr>
      <w:r>
        <w:rPr>
          <w:rFonts w:hint="eastAsia" w:ascii="宋体" w:hAnsi="宋体"/>
          <w:bCs/>
          <w:color w:val="000000"/>
          <w:sz w:val="28"/>
          <w:szCs w:val="28"/>
        </w:rPr>
        <w:t>1.磋商、评审工作由绵阳市中医医院采购办负责组织。</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2.具体磋商、评审事务由依法组建的磋商小组负责。</w:t>
      </w:r>
    </w:p>
    <w:p>
      <w:pPr>
        <w:tabs>
          <w:tab w:val="left" w:pos="630"/>
          <w:tab w:val="left" w:pos="1050"/>
        </w:tabs>
        <w:spacing w:line="480" w:lineRule="exact"/>
        <w:ind w:left="1" w:firstLine="560" w:firstLineChars="200"/>
        <w:rPr>
          <w:rFonts w:ascii="宋体" w:hAnsi="宋体"/>
          <w:bCs/>
          <w:color w:val="000000"/>
          <w:sz w:val="28"/>
          <w:szCs w:val="28"/>
        </w:rPr>
      </w:pPr>
      <w:r>
        <w:rPr>
          <w:rFonts w:hint="eastAsia" w:ascii="宋体" w:hAnsi="宋体"/>
          <w:bCs/>
          <w:color w:val="000000"/>
          <w:sz w:val="28"/>
          <w:szCs w:val="28"/>
        </w:rPr>
        <w:t>3.响应文件的审查</w:t>
      </w:r>
    </w:p>
    <w:p>
      <w:pPr>
        <w:tabs>
          <w:tab w:val="left" w:pos="630"/>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3.1报价表内容与明细表内容不一致的，以报价表为准。</w:t>
      </w:r>
    </w:p>
    <w:p>
      <w:pPr>
        <w:tabs>
          <w:tab w:val="left" w:pos="630"/>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3.2总价金额与按单价汇总金额不一致的，以单价金额计算结果为准。单价金额小数点有明显错位的，应以总价为准，并修改单价。</w:t>
      </w:r>
    </w:p>
    <w:p>
      <w:pPr>
        <w:tabs>
          <w:tab w:val="left" w:pos="630"/>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3.3大写金额与小写金额不一致的，以大写金额为准。</w:t>
      </w:r>
    </w:p>
    <w:p>
      <w:pPr>
        <w:tabs>
          <w:tab w:val="left" w:pos="630"/>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3.4正本与副本不符，以正本为准。</w:t>
      </w:r>
    </w:p>
    <w:p>
      <w:pPr>
        <w:tabs>
          <w:tab w:val="left" w:pos="840"/>
          <w:tab w:val="left" w:pos="1050"/>
        </w:tabs>
        <w:spacing w:line="480" w:lineRule="exact"/>
        <w:ind w:left="1" w:firstLine="560" w:firstLineChars="200"/>
        <w:rPr>
          <w:rFonts w:ascii="宋体" w:hAnsi="宋体"/>
          <w:bCs/>
          <w:color w:val="000000"/>
          <w:sz w:val="28"/>
          <w:szCs w:val="28"/>
        </w:rPr>
      </w:pPr>
      <w:r>
        <w:rPr>
          <w:rFonts w:hint="eastAsia" w:ascii="宋体" w:hAnsi="宋体"/>
          <w:bCs/>
          <w:color w:val="000000"/>
          <w:sz w:val="28"/>
          <w:szCs w:val="28"/>
        </w:rPr>
        <w:t>4.磋商、评审程序</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 xml:space="preserve">4.1响应文件初审。初审分为资格性检查和符合性检查。 </w:t>
      </w:r>
    </w:p>
    <w:p>
      <w:pPr>
        <w:tabs>
          <w:tab w:val="left" w:pos="210"/>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4.2资格性检查。依据法律法规和采购文件的规定，对响应文件中的资格证明、响应保证金等进行审查，以确定供应商是否具备报价资格。</w:t>
      </w:r>
    </w:p>
    <w:p>
      <w:pPr>
        <w:tabs>
          <w:tab w:val="left" w:pos="210"/>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4.3符合性检查。依据磋商文件的规定，从响应文件的有效性、完整性和对磋商文件的响应程度进行审查，以确定是否对采购文件的实质性要求作出响应。</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4.4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4.5在磋商过程中，磋商小组可以根据磋商文件和磋商情况实质性变动采购需求中的技术、服务要求以及合同草案条款，但不得变动磋商文件中的其他内容。实质性变动的内容，须经主管科室确认。</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对磋商文件作出的实质性变动是磋商文件的有效组成部分，磋商小组应当及时以书面形式同时通知所有参加磋商的供应商。</w:t>
      </w:r>
    </w:p>
    <w:p>
      <w:pPr>
        <w:tabs>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供应商应当按照磋商文件的变动情况和磋商小组的要求重新提交补充资料，并由其法定代表人或授权代表签字或者加盖公章。由授权代表签字的，应当附法定代表人授权书。供应商为自然人的，应当由本人签字并附身份证明。</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4.6 磋商小组讨论、确定磋商程序和磋商内容。</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4.7磋商小组所有成员应当集中与单一供应商分别进行磋商，并给予所有参加磋商的供应商平等的磋商机会。磋商轮次由磋商小组视情况决定。</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4.8磋商文件能够详细列明采购标的的技术、服务要求的，磋商结束后，磋商小组应当要求所有实质性响应的供应商在规定时间内提交最后报价，提交最后报价的供应商不得少于3家，但特殊情况经评标委员会一致同意，在采购过程中符合要求的供应商只有2家的，竞争性磋商采购活动可以继续进行。</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磋商文件不能详细列明采购标的的技术、服务要求，需经磋商由供应商提供最终设计方案或解决方案的，磋商结束后，磋商小组应当按照少数服从多数的原则投票推荐3家以上供应商的服务方案或者解决方案，并要求其在规定时间内提交最后报价。</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最后报价是供应商响应文件的有效组成部分。</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4.9如果磋商后供应商最终总报价高于或低于其在磋商响应文件中报价的，分项报价同比例调整。</w:t>
      </w:r>
    </w:p>
    <w:p>
      <w:pPr>
        <w:tabs>
          <w:tab w:val="left" w:pos="840"/>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4.10成交标准</w:t>
      </w: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综合评分法（详见第六章）。</w:t>
      </w:r>
    </w:p>
    <w:p>
      <w:pPr>
        <w:spacing w:line="480" w:lineRule="exact"/>
        <w:ind w:firstLine="560" w:firstLineChars="200"/>
        <w:rPr>
          <w:rFonts w:ascii="宋体" w:hAnsi="宋体"/>
          <w:bCs/>
          <w:color w:val="000000"/>
          <w:sz w:val="28"/>
          <w:szCs w:val="28"/>
        </w:rPr>
      </w:pPr>
    </w:p>
    <w:p>
      <w:pPr>
        <w:spacing w:line="480" w:lineRule="exact"/>
        <w:jc w:val="center"/>
        <w:outlineLvl w:val="0"/>
        <w:rPr>
          <w:rFonts w:ascii="宋体" w:hAnsi="宋体"/>
          <w:b/>
          <w:bCs/>
          <w:color w:val="000000"/>
          <w:sz w:val="28"/>
          <w:szCs w:val="28"/>
        </w:rPr>
      </w:pPr>
      <w:bookmarkStart w:id="7" w:name="_Toc439344152"/>
      <w:bookmarkStart w:id="8" w:name="_Toc439344187"/>
      <w:bookmarkStart w:id="9" w:name="_Toc437867400"/>
      <w:bookmarkStart w:id="10" w:name="_Toc439344097"/>
      <w:bookmarkStart w:id="11" w:name="_Toc410298042"/>
      <w:bookmarkStart w:id="12" w:name="_Toc414449926"/>
      <w:bookmarkStart w:id="13" w:name="_Toc409689466"/>
      <w:r>
        <w:rPr>
          <w:rFonts w:hint="eastAsia" w:ascii="宋体" w:hAnsi="宋体"/>
          <w:b/>
          <w:bCs/>
          <w:color w:val="000000"/>
          <w:sz w:val="28"/>
          <w:szCs w:val="28"/>
        </w:rPr>
        <w:t>（五）确定成交供应商</w:t>
      </w:r>
      <w:bookmarkEnd w:id="7"/>
      <w:bookmarkEnd w:id="8"/>
      <w:bookmarkEnd w:id="9"/>
      <w:bookmarkEnd w:id="10"/>
      <w:bookmarkEnd w:id="11"/>
      <w:bookmarkEnd w:id="12"/>
      <w:bookmarkEnd w:id="13"/>
    </w:p>
    <w:p>
      <w:pPr>
        <w:spacing w:line="480" w:lineRule="exact"/>
        <w:jc w:val="center"/>
        <w:outlineLvl w:val="0"/>
        <w:rPr>
          <w:rFonts w:ascii="宋体" w:hAnsi="宋体"/>
          <w:b/>
          <w:bCs/>
          <w:color w:val="000000"/>
          <w:sz w:val="28"/>
          <w:szCs w:val="28"/>
        </w:rPr>
      </w:pP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1.磋商小组对通过资格性检查和经磋商后符合性检查的有效响应文件，根据成交标准确定成交供应商。</w:t>
      </w:r>
    </w:p>
    <w:p>
      <w:pPr>
        <w:tabs>
          <w:tab w:val="left" w:pos="1050"/>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2.采购办将评审结果通知所有参加磋商的未成交供应商，并在绵阳中医医院官网以公告形式发布成交公告。采购办和磋商小组对未成交原因不做解释。</w:t>
      </w:r>
    </w:p>
    <w:p>
      <w:pPr>
        <w:tabs>
          <w:tab w:val="left" w:pos="1050"/>
        </w:tabs>
        <w:spacing w:line="480" w:lineRule="exact"/>
        <w:ind w:firstLine="560" w:firstLineChars="200"/>
        <w:rPr>
          <w:rFonts w:ascii="宋体" w:hAnsi="宋体"/>
          <w:bCs/>
          <w:color w:val="000000"/>
          <w:sz w:val="28"/>
          <w:szCs w:val="28"/>
        </w:rPr>
      </w:pPr>
    </w:p>
    <w:p>
      <w:pPr>
        <w:tabs>
          <w:tab w:val="left" w:pos="1260"/>
        </w:tabs>
        <w:spacing w:line="480" w:lineRule="exact"/>
        <w:jc w:val="center"/>
        <w:outlineLvl w:val="0"/>
        <w:rPr>
          <w:rFonts w:ascii="宋体" w:hAnsi="宋体"/>
          <w:b/>
          <w:bCs/>
          <w:color w:val="000000"/>
          <w:sz w:val="28"/>
          <w:szCs w:val="28"/>
        </w:rPr>
      </w:pPr>
      <w:bookmarkStart w:id="14" w:name="_Toc414449927"/>
      <w:bookmarkStart w:id="15" w:name="_Toc410298043"/>
      <w:bookmarkStart w:id="16" w:name="_Toc439344098"/>
      <w:bookmarkStart w:id="17" w:name="_Toc437867401"/>
      <w:bookmarkStart w:id="18" w:name="_Toc439344153"/>
      <w:bookmarkStart w:id="19" w:name="_Toc409689467"/>
      <w:bookmarkStart w:id="20" w:name="_Toc439344188"/>
      <w:r>
        <w:rPr>
          <w:rFonts w:hint="eastAsia" w:ascii="宋体" w:hAnsi="宋体"/>
          <w:b/>
          <w:bCs/>
          <w:color w:val="000000"/>
          <w:sz w:val="28"/>
          <w:szCs w:val="28"/>
        </w:rPr>
        <w:t>（六）废除磋商</w:t>
      </w:r>
      <w:bookmarkEnd w:id="14"/>
      <w:bookmarkEnd w:id="15"/>
      <w:bookmarkEnd w:id="16"/>
      <w:bookmarkEnd w:id="17"/>
      <w:bookmarkEnd w:id="18"/>
      <w:bookmarkEnd w:id="19"/>
      <w:bookmarkEnd w:id="20"/>
    </w:p>
    <w:p>
      <w:pPr>
        <w:tabs>
          <w:tab w:val="left" w:pos="1260"/>
        </w:tabs>
        <w:spacing w:line="480" w:lineRule="exact"/>
        <w:ind w:left="-2" w:leftChars="-1" w:firstLine="490" w:firstLineChars="175"/>
        <w:outlineLvl w:val="0"/>
        <w:rPr>
          <w:rFonts w:ascii="宋体" w:hAnsi="宋体"/>
          <w:bCs/>
          <w:color w:val="000000"/>
          <w:sz w:val="28"/>
          <w:szCs w:val="28"/>
        </w:rPr>
      </w:pPr>
    </w:p>
    <w:p>
      <w:pPr>
        <w:spacing w:line="480" w:lineRule="exact"/>
        <w:ind w:firstLine="560" w:firstLineChars="200"/>
        <w:rPr>
          <w:rFonts w:ascii="宋体" w:hAnsi="宋体"/>
          <w:bCs/>
          <w:color w:val="000000"/>
          <w:sz w:val="28"/>
          <w:szCs w:val="28"/>
        </w:rPr>
      </w:pPr>
      <w:r>
        <w:rPr>
          <w:rFonts w:hint="eastAsia" w:ascii="宋体" w:hAnsi="宋体"/>
          <w:bCs/>
          <w:color w:val="000000"/>
          <w:sz w:val="28"/>
          <w:szCs w:val="28"/>
        </w:rPr>
        <w:t>在磋商中出现下列情况之一的，废除磋商：</w:t>
      </w:r>
    </w:p>
    <w:p>
      <w:pPr>
        <w:numPr>
          <w:ilvl w:val="0"/>
          <w:numId w:val="1"/>
        </w:numPr>
        <w:tabs>
          <w:tab w:val="right" w:pos="180"/>
          <w:tab w:val="left" w:pos="525"/>
          <w:tab w:val="left" w:pos="1050"/>
          <w:tab w:val="clear" w:pos="570"/>
        </w:tabs>
        <w:spacing w:line="480" w:lineRule="exact"/>
        <w:ind w:left="0" w:firstLine="630"/>
        <w:rPr>
          <w:rFonts w:ascii="宋体" w:hAnsi="宋体"/>
          <w:bCs/>
          <w:color w:val="000000"/>
          <w:sz w:val="28"/>
          <w:szCs w:val="28"/>
        </w:rPr>
      </w:pPr>
      <w:r>
        <w:rPr>
          <w:rFonts w:hint="eastAsia" w:ascii="宋体" w:hAnsi="宋体"/>
          <w:bCs/>
          <w:color w:val="000000"/>
          <w:sz w:val="28"/>
          <w:szCs w:val="28"/>
        </w:rPr>
        <w:t>符合专业条件的报价人或对磋商文件做出实质性响应的报价人不足三家，但特殊情况经评标委员会一致同意的，可以为2家；</w:t>
      </w:r>
    </w:p>
    <w:p>
      <w:pPr>
        <w:numPr>
          <w:ilvl w:val="0"/>
          <w:numId w:val="1"/>
        </w:numPr>
        <w:tabs>
          <w:tab w:val="left" w:pos="525"/>
          <w:tab w:val="left" w:pos="1050"/>
          <w:tab w:val="clear" w:pos="570"/>
        </w:tabs>
        <w:spacing w:line="480" w:lineRule="exact"/>
        <w:ind w:left="0" w:firstLine="630"/>
        <w:rPr>
          <w:rFonts w:ascii="宋体" w:hAnsi="宋体"/>
          <w:bCs/>
          <w:color w:val="000000"/>
          <w:sz w:val="28"/>
          <w:szCs w:val="28"/>
        </w:rPr>
      </w:pPr>
      <w:r>
        <w:rPr>
          <w:rFonts w:hint="eastAsia" w:ascii="宋体" w:hAnsi="宋体"/>
          <w:bCs/>
          <w:color w:val="000000"/>
          <w:sz w:val="28"/>
          <w:szCs w:val="28"/>
        </w:rPr>
        <w:t>出现影响采购公正的违法、违规行为；</w:t>
      </w:r>
    </w:p>
    <w:p>
      <w:pPr>
        <w:numPr>
          <w:ilvl w:val="0"/>
          <w:numId w:val="1"/>
        </w:numPr>
        <w:tabs>
          <w:tab w:val="left" w:pos="525"/>
          <w:tab w:val="left" w:pos="1050"/>
          <w:tab w:val="clear" w:pos="570"/>
        </w:tabs>
        <w:spacing w:line="480" w:lineRule="exact"/>
        <w:ind w:left="0" w:firstLine="630"/>
        <w:rPr>
          <w:rFonts w:ascii="宋体" w:hAnsi="宋体"/>
          <w:bCs/>
          <w:color w:val="000000"/>
          <w:sz w:val="28"/>
          <w:szCs w:val="28"/>
        </w:rPr>
      </w:pPr>
      <w:r>
        <w:rPr>
          <w:rFonts w:hint="eastAsia" w:ascii="宋体" w:hAnsi="宋体"/>
          <w:bCs/>
          <w:color w:val="000000"/>
          <w:sz w:val="28"/>
          <w:szCs w:val="28"/>
        </w:rPr>
        <w:t>报价人的报价均超过采购预算；</w:t>
      </w:r>
    </w:p>
    <w:p>
      <w:pPr>
        <w:numPr>
          <w:ilvl w:val="0"/>
          <w:numId w:val="1"/>
        </w:numPr>
        <w:tabs>
          <w:tab w:val="right" w:pos="180"/>
          <w:tab w:val="left" w:pos="525"/>
          <w:tab w:val="left" w:pos="1050"/>
          <w:tab w:val="clear" w:pos="570"/>
        </w:tabs>
        <w:spacing w:line="480" w:lineRule="exact"/>
        <w:ind w:left="0" w:firstLine="630"/>
        <w:rPr>
          <w:rFonts w:ascii="宋体" w:hAnsi="宋体"/>
          <w:bCs/>
          <w:color w:val="000000"/>
          <w:sz w:val="28"/>
          <w:szCs w:val="28"/>
        </w:rPr>
      </w:pPr>
      <w:r>
        <w:rPr>
          <w:rFonts w:hint="eastAsia" w:ascii="宋体" w:hAnsi="宋体"/>
          <w:bCs/>
          <w:color w:val="000000"/>
          <w:sz w:val="28"/>
          <w:szCs w:val="28"/>
        </w:rPr>
        <w:t>因重大变故，采购任务取消。</w:t>
      </w:r>
    </w:p>
    <w:p>
      <w:pPr>
        <w:spacing w:line="480" w:lineRule="exact"/>
        <w:rPr>
          <w:rFonts w:ascii="宋体" w:hAnsi="宋体"/>
          <w:b/>
          <w:color w:val="000000"/>
          <w:sz w:val="28"/>
          <w:szCs w:val="28"/>
        </w:rPr>
      </w:pPr>
    </w:p>
    <w:p>
      <w:pPr>
        <w:spacing w:line="480" w:lineRule="exact"/>
        <w:jc w:val="center"/>
        <w:rPr>
          <w:rFonts w:ascii="宋体" w:hAnsi="宋体"/>
          <w:b/>
          <w:color w:val="000000"/>
          <w:sz w:val="28"/>
          <w:szCs w:val="28"/>
        </w:rPr>
      </w:pPr>
      <w:r>
        <w:rPr>
          <w:rFonts w:hint="eastAsia" w:ascii="宋体" w:hAnsi="宋体"/>
          <w:b/>
          <w:color w:val="000000"/>
          <w:sz w:val="28"/>
          <w:szCs w:val="28"/>
        </w:rPr>
        <w:t>（七）磋商纪律</w:t>
      </w:r>
    </w:p>
    <w:p>
      <w:pPr>
        <w:spacing w:line="480" w:lineRule="exact"/>
        <w:jc w:val="center"/>
        <w:rPr>
          <w:rFonts w:ascii="宋体" w:hAnsi="宋体"/>
          <w:b/>
          <w:color w:val="000000"/>
          <w:sz w:val="28"/>
          <w:szCs w:val="28"/>
        </w:rPr>
      </w:pPr>
    </w:p>
    <w:p>
      <w:pPr>
        <w:tabs>
          <w:tab w:val="left" w:pos="-180"/>
        </w:tabs>
        <w:spacing w:line="480" w:lineRule="exact"/>
        <w:ind w:firstLine="548" w:firstLineChars="196"/>
        <w:rPr>
          <w:rFonts w:ascii="宋体" w:hAnsi="宋体"/>
          <w:bCs/>
          <w:color w:val="000000"/>
          <w:sz w:val="28"/>
          <w:szCs w:val="28"/>
        </w:rPr>
      </w:pPr>
      <w:r>
        <w:rPr>
          <w:rFonts w:hint="eastAsia" w:ascii="宋体" w:hAnsi="宋体"/>
          <w:bCs/>
          <w:color w:val="000000"/>
          <w:sz w:val="28"/>
          <w:szCs w:val="28"/>
        </w:rPr>
        <w:t>1.磋商小组内部讨论的情况和意见必须保密，任何人不得以任何形式透露给</w:t>
      </w:r>
      <w:r>
        <w:rPr>
          <w:rFonts w:hint="eastAsia" w:ascii="宋体" w:hAnsi="宋体"/>
          <w:color w:val="000000"/>
          <w:sz w:val="28"/>
          <w:szCs w:val="28"/>
        </w:rPr>
        <w:t>报价</w:t>
      </w:r>
      <w:r>
        <w:rPr>
          <w:rFonts w:hint="eastAsia" w:ascii="宋体" w:hAnsi="宋体"/>
          <w:bCs/>
          <w:color w:val="000000"/>
          <w:sz w:val="28"/>
          <w:szCs w:val="28"/>
        </w:rPr>
        <w:t>或与</w:t>
      </w:r>
      <w:r>
        <w:rPr>
          <w:rFonts w:hint="eastAsia" w:ascii="宋体" w:hAnsi="宋体"/>
          <w:color w:val="000000"/>
          <w:sz w:val="28"/>
          <w:szCs w:val="28"/>
        </w:rPr>
        <w:t>报价</w:t>
      </w:r>
      <w:r>
        <w:rPr>
          <w:rFonts w:hint="eastAsia" w:ascii="宋体" w:hAnsi="宋体"/>
          <w:bCs/>
          <w:color w:val="000000"/>
          <w:sz w:val="28"/>
          <w:szCs w:val="28"/>
        </w:rPr>
        <w:t>有关的单位或个人。</w:t>
      </w:r>
    </w:p>
    <w:p>
      <w:pPr>
        <w:tabs>
          <w:tab w:val="left" w:pos="0"/>
        </w:tabs>
        <w:spacing w:line="480" w:lineRule="exact"/>
        <w:ind w:firstLine="548" w:firstLineChars="196"/>
        <w:rPr>
          <w:rFonts w:ascii="宋体" w:hAnsi="宋体"/>
          <w:bCs/>
          <w:color w:val="000000"/>
          <w:sz w:val="28"/>
          <w:szCs w:val="28"/>
        </w:rPr>
      </w:pPr>
      <w:r>
        <w:rPr>
          <w:rFonts w:hint="eastAsia" w:ascii="宋体" w:hAnsi="宋体"/>
          <w:bCs/>
          <w:color w:val="000000"/>
          <w:sz w:val="28"/>
          <w:szCs w:val="28"/>
        </w:rPr>
        <w:t>2.在磋商过程中，供应商不得以任何形式对磋商小组成员进行旨在影响磋商结果的私下接触，否则将取消其参与</w:t>
      </w:r>
      <w:r>
        <w:rPr>
          <w:rFonts w:hint="eastAsia" w:ascii="宋体" w:hAnsi="宋体"/>
          <w:color w:val="000000"/>
          <w:sz w:val="28"/>
          <w:szCs w:val="28"/>
        </w:rPr>
        <w:t>报价</w:t>
      </w:r>
      <w:r>
        <w:rPr>
          <w:rFonts w:hint="eastAsia" w:ascii="宋体" w:hAnsi="宋体"/>
          <w:bCs/>
          <w:color w:val="000000"/>
          <w:sz w:val="28"/>
          <w:szCs w:val="28"/>
        </w:rPr>
        <w:t>的资格。</w:t>
      </w:r>
    </w:p>
    <w:p>
      <w:pPr>
        <w:tabs>
          <w:tab w:val="left" w:pos="0"/>
        </w:tabs>
        <w:spacing w:line="480" w:lineRule="exact"/>
        <w:ind w:firstLine="548" w:firstLineChars="196"/>
        <w:rPr>
          <w:rFonts w:ascii="宋体" w:hAnsi="宋体"/>
          <w:bCs/>
          <w:color w:val="000000"/>
          <w:sz w:val="28"/>
          <w:szCs w:val="28"/>
        </w:rPr>
      </w:pPr>
      <w:r>
        <w:rPr>
          <w:rFonts w:hint="eastAsia" w:ascii="宋体" w:hAnsi="宋体"/>
          <w:bCs/>
          <w:color w:val="000000"/>
          <w:sz w:val="28"/>
          <w:szCs w:val="28"/>
        </w:rPr>
        <w:t>3.对各供应商的商业秘密，磋商小组成员应予以保密，不得泄露给其他供应商。</w:t>
      </w:r>
    </w:p>
    <w:p>
      <w:pPr>
        <w:tabs>
          <w:tab w:val="left" w:pos="0"/>
        </w:tabs>
        <w:spacing w:line="480" w:lineRule="exact"/>
        <w:ind w:firstLine="548" w:firstLineChars="196"/>
        <w:rPr>
          <w:rFonts w:ascii="宋体" w:hAnsi="宋体"/>
          <w:bCs/>
          <w:color w:val="000000"/>
          <w:sz w:val="28"/>
          <w:szCs w:val="28"/>
        </w:rPr>
      </w:pPr>
      <w:r>
        <w:rPr>
          <w:rFonts w:hint="eastAsia" w:ascii="宋体" w:hAnsi="宋体"/>
          <w:bCs/>
          <w:color w:val="000000"/>
          <w:sz w:val="28"/>
          <w:szCs w:val="28"/>
        </w:rPr>
        <w:t>4.磋商小组独立评判，推荐成交候选人，并写出书面报告。</w:t>
      </w:r>
    </w:p>
    <w:p>
      <w:pPr>
        <w:spacing w:line="480" w:lineRule="exact"/>
        <w:jc w:val="center"/>
        <w:rPr>
          <w:rFonts w:ascii="宋体" w:hAnsi="宋体"/>
          <w:b/>
          <w:color w:val="000000"/>
          <w:sz w:val="28"/>
          <w:szCs w:val="28"/>
        </w:rPr>
      </w:pPr>
    </w:p>
    <w:p>
      <w:pPr>
        <w:spacing w:line="480" w:lineRule="exact"/>
        <w:jc w:val="center"/>
        <w:rPr>
          <w:rFonts w:ascii="宋体" w:hAnsi="宋体"/>
          <w:b/>
          <w:color w:val="000000"/>
          <w:sz w:val="28"/>
          <w:szCs w:val="28"/>
        </w:rPr>
      </w:pPr>
      <w:r>
        <w:rPr>
          <w:rFonts w:hint="eastAsia" w:ascii="宋体" w:hAnsi="宋体"/>
          <w:b/>
          <w:color w:val="000000"/>
          <w:sz w:val="28"/>
          <w:szCs w:val="28"/>
        </w:rPr>
        <w:t>（八）保证金</w:t>
      </w:r>
      <w:r>
        <w:rPr>
          <w:rFonts w:hint="eastAsia" w:ascii="宋体" w:hAnsi="宋体"/>
          <w:b/>
          <w:color w:val="FF0000"/>
          <w:sz w:val="28"/>
          <w:szCs w:val="28"/>
          <w:highlight w:val="yellow"/>
        </w:rPr>
        <w:t>（本项目不收取）</w:t>
      </w:r>
    </w:p>
    <w:p>
      <w:pPr>
        <w:spacing w:line="480" w:lineRule="exact"/>
        <w:jc w:val="center"/>
        <w:rPr>
          <w:rFonts w:ascii="宋体" w:hAnsi="宋体"/>
          <w:b/>
          <w:color w:val="000000"/>
          <w:sz w:val="28"/>
          <w:szCs w:val="28"/>
        </w:rPr>
      </w:pPr>
    </w:p>
    <w:p>
      <w:pPr>
        <w:numPr>
          <w:ilvl w:val="0"/>
          <w:numId w:val="2"/>
        </w:numPr>
        <w:tabs>
          <w:tab w:val="right" w:pos="525"/>
          <w:tab w:val="left" w:pos="735"/>
          <w:tab w:val="left" w:pos="1050"/>
          <w:tab w:val="clear" w:pos="510"/>
        </w:tabs>
        <w:spacing w:line="480" w:lineRule="exact"/>
        <w:ind w:left="0" w:firstLine="630"/>
        <w:rPr>
          <w:rFonts w:ascii="宋体" w:hAnsi="宋体"/>
          <w:bCs/>
          <w:color w:val="000000"/>
          <w:sz w:val="28"/>
          <w:szCs w:val="28"/>
        </w:rPr>
      </w:pPr>
      <w:r>
        <w:rPr>
          <w:rFonts w:hint="eastAsia" w:ascii="宋体" w:hAnsi="宋体"/>
          <w:color w:val="000000"/>
          <w:sz w:val="28"/>
          <w:szCs w:val="28"/>
        </w:rPr>
        <w:t>响应保证金应按照磋商文件规定的数额和办法交纳</w:t>
      </w:r>
      <w:r>
        <w:rPr>
          <w:rFonts w:hint="eastAsia" w:ascii="宋体" w:hAnsi="宋体"/>
          <w:bCs/>
          <w:color w:val="000000"/>
          <w:sz w:val="28"/>
          <w:szCs w:val="28"/>
        </w:rPr>
        <w:t>。</w:t>
      </w:r>
    </w:p>
    <w:p>
      <w:pPr>
        <w:numPr>
          <w:ilvl w:val="0"/>
          <w:numId w:val="2"/>
        </w:numPr>
        <w:tabs>
          <w:tab w:val="right" w:pos="525"/>
          <w:tab w:val="left" w:pos="1050"/>
          <w:tab w:val="clear" w:pos="510"/>
        </w:tabs>
        <w:spacing w:line="480" w:lineRule="exact"/>
        <w:ind w:left="0" w:firstLine="630"/>
        <w:rPr>
          <w:rFonts w:ascii="宋体" w:hAnsi="宋体"/>
          <w:bCs/>
          <w:color w:val="000000"/>
          <w:sz w:val="28"/>
          <w:szCs w:val="28"/>
        </w:rPr>
      </w:pPr>
      <w:r>
        <w:rPr>
          <w:rFonts w:hint="eastAsia" w:ascii="宋体" w:hAnsi="宋体"/>
          <w:color w:val="000000"/>
          <w:sz w:val="28"/>
          <w:szCs w:val="28"/>
        </w:rPr>
        <w:t>未中标人</w:t>
      </w:r>
      <w:r>
        <w:rPr>
          <w:rFonts w:hint="eastAsia" w:ascii="宋体" w:hAnsi="宋体"/>
          <w:color w:val="000000"/>
          <w:sz w:val="28"/>
          <w:szCs w:val="28"/>
          <w:lang w:val="zh-CN"/>
        </w:rPr>
        <w:t>的</w:t>
      </w:r>
      <w:r>
        <w:rPr>
          <w:rFonts w:hint="eastAsia"/>
          <w:color w:val="000000"/>
          <w:sz w:val="28"/>
          <w:szCs w:val="28"/>
          <w:lang w:val="zh-CN"/>
        </w:rPr>
        <w:t>响应保证</w:t>
      </w:r>
      <w:r>
        <w:rPr>
          <w:rFonts w:hint="eastAsia" w:ascii="宋体" w:hAnsi="宋体"/>
          <w:color w:val="000000"/>
          <w:sz w:val="28"/>
          <w:szCs w:val="28"/>
          <w:lang w:val="zh-CN"/>
        </w:rPr>
        <w:t>金</w:t>
      </w:r>
      <w:r>
        <w:rPr>
          <w:rFonts w:hint="eastAsia" w:ascii="宋体" w:hAnsi="宋体"/>
          <w:color w:val="000000"/>
          <w:sz w:val="28"/>
          <w:szCs w:val="28"/>
        </w:rPr>
        <w:t>，将当场退还。成交人</w:t>
      </w:r>
      <w:r>
        <w:rPr>
          <w:rFonts w:hint="eastAsia" w:ascii="宋体" w:hAnsi="宋体"/>
          <w:color w:val="000000"/>
          <w:sz w:val="28"/>
          <w:szCs w:val="28"/>
          <w:lang w:val="zh-CN"/>
        </w:rPr>
        <w:t>的</w:t>
      </w:r>
      <w:r>
        <w:rPr>
          <w:rFonts w:hint="eastAsia"/>
          <w:color w:val="000000"/>
          <w:sz w:val="28"/>
          <w:szCs w:val="28"/>
          <w:lang w:val="zh-CN"/>
        </w:rPr>
        <w:t>响应保证</w:t>
      </w:r>
      <w:r>
        <w:rPr>
          <w:rFonts w:hint="eastAsia" w:ascii="宋体" w:hAnsi="宋体"/>
          <w:color w:val="000000"/>
          <w:sz w:val="28"/>
          <w:szCs w:val="28"/>
          <w:lang w:val="zh-CN"/>
        </w:rPr>
        <w:t>金</w:t>
      </w:r>
      <w:r>
        <w:rPr>
          <w:rFonts w:hint="eastAsia" w:ascii="宋体" w:hAnsi="宋体"/>
          <w:color w:val="000000"/>
          <w:sz w:val="28"/>
          <w:szCs w:val="28"/>
        </w:rPr>
        <w:t>，自动转为履约保证金，待项目完成后无息退还</w:t>
      </w:r>
      <w:r>
        <w:rPr>
          <w:rFonts w:hint="eastAsia" w:ascii="宋体" w:hAnsi="宋体"/>
          <w:bCs/>
          <w:color w:val="000000"/>
          <w:sz w:val="28"/>
          <w:szCs w:val="28"/>
        </w:rPr>
        <w:t>。</w:t>
      </w:r>
    </w:p>
    <w:p>
      <w:pPr>
        <w:numPr>
          <w:ilvl w:val="0"/>
          <w:numId w:val="2"/>
        </w:numPr>
        <w:tabs>
          <w:tab w:val="right" w:pos="525"/>
          <w:tab w:val="left" w:pos="1050"/>
          <w:tab w:val="clear" w:pos="510"/>
        </w:tabs>
        <w:spacing w:line="480" w:lineRule="exact"/>
        <w:ind w:left="0" w:firstLine="630"/>
        <w:rPr>
          <w:rFonts w:ascii="宋体" w:hAnsi="宋体"/>
          <w:bCs/>
          <w:color w:val="000000"/>
          <w:sz w:val="28"/>
          <w:szCs w:val="28"/>
        </w:rPr>
      </w:pPr>
      <w:r>
        <w:rPr>
          <w:rFonts w:hint="eastAsia" w:ascii="宋体" w:hAnsi="宋体"/>
          <w:bCs/>
          <w:color w:val="000000"/>
          <w:sz w:val="28"/>
          <w:szCs w:val="28"/>
        </w:rPr>
        <w:t>成交供应商有下列情形之一的，采购办不予退还其交纳的竞标保证金；情节严重的，上报相关上级部门给予处理：</w:t>
      </w:r>
    </w:p>
    <w:p>
      <w:pPr>
        <w:tabs>
          <w:tab w:val="left" w:pos="315"/>
          <w:tab w:val="left" w:pos="735"/>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3.1成交后无正当理由不与采购人签订合同的；</w:t>
      </w:r>
    </w:p>
    <w:p>
      <w:pPr>
        <w:tabs>
          <w:tab w:val="left" w:pos="315"/>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3.2将成交项目转让给他人，或者在响应文件中未说明，且未经过绵阳市中医医院同意，将成交项目分包给他人的；</w:t>
      </w:r>
    </w:p>
    <w:p>
      <w:pPr>
        <w:tabs>
          <w:tab w:val="left" w:pos="315"/>
          <w:tab w:val="left" w:pos="735"/>
          <w:tab w:val="left" w:pos="1365"/>
        </w:tabs>
        <w:spacing w:line="480" w:lineRule="exact"/>
        <w:ind w:firstLine="560" w:firstLineChars="200"/>
        <w:rPr>
          <w:rFonts w:ascii="宋体" w:hAnsi="宋体"/>
          <w:bCs/>
          <w:color w:val="000000"/>
          <w:sz w:val="28"/>
          <w:szCs w:val="28"/>
        </w:rPr>
      </w:pPr>
      <w:r>
        <w:rPr>
          <w:rFonts w:hint="eastAsia" w:ascii="宋体" w:hAnsi="宋体"/>
          <w:bCs/>
          <w:color w:val="000000"/>
          <w:sz w:val="28"/>
          <w:szCs w:val="28"/>
        </w:rPr>
        <w:t>3.3拒绝履行合同义务的。</w:t>
      </w:r>
    </w:p>
    <w:p>
      <w:pPr>
        <w:tabs>
          <w:tab w:val="left" w:pos="315"/>
          <w:tab w:val="left" w:pos="735"/>
          <w:tab w:val="left" w:pos="1365"/>
        </w:tabs>
        <w:spacing w:line="480" w:lineRule="exact"/>
        <w:ind w:firstLine="560" w:firstLineChars="200"/>
        <w:rPr>
          <w:rFonts w:ascii="宋体" w:hAnsi="宋体"/>
          <w:bCs/>
          <w:color w:val="000000"/>
          <w:sz w:val="28"/>
          <w:szCs w:val="28"/>
        </w:rPr>
      </w:pPr>
    </w:p>
    <w:p>
      <w:pPr>
        <w:spacing w:line="480" w:lineRule="exact"/>
        <w:jc w:val="center"/>
        <w:rPr>
          <w:rFonts w:ascii="宋体" w:hAnsi="宋体"/>
          <w:b/>
          <w:color w:val="000000"/>
          <w:sz w:val="28"/>
          <w:szCs w:val="28"/>
        </w:rPr>
      </w:pPr>
      <w:r>
        <w:rPr>
          <w:rFonts w:hint="eastAsia" w:ascii="宋体" w:hAnsi="宋体"/>
          <w:b/>
          <w:color w:val="000000"/>
          <w:sz w:val="28"/>
          <w:szCs w:val="28"/>
        </w:rPr>
        <w:t>（九）采购合同</w:t>
      </w:r>
    </w:p>
    <w:p>
      <w:pPr>
        <w:spacing w:line="480" w:lineRule="exact"/>
        <w:jc w:val="center"/>
        <w:rPr>
          <w:rFonts w:ascii="宋体" w:hAnsi="宋体"/>
          <w:b/>
          <w:color w:val="000000"/>
          <w:sz w:val="28"/>
          <w:szCs w:val="28"/>
        </w:rPr>
      </w:pPr>
    </w:p>
    <w:p>
      <w:pPr>
        <w:tabs>
          <w:tab w:val="left" w:pos="1050"/>
        </w:tabs>
        <w:spacing w:line="480" w:lineRule="exact"/>
        <w:ind w:firstLine="560" w:firstLineChars="200"/>
        <w:rPr>
          <w:rFonts w:ascii="宋体" w:hAnsi="宋体"/>
          <w:bCs/>
          <w:color w:val="000000"/>
          <w:sz w:val="28"/>
          <w:szCs w:val="28"/>
        </w:rPr>
      </w:pPr>
      <w:r>
        <w:rPr>
          <w:rFonts w:hint="eastAsia" w:ascii="宋体" w:hAnsi="宋体"/>
          <w:color w:val="000000"/>
          <w:sz w:val="28"/>
          <w:szCs w:val="28"/>
        </w:rPr>
        <w:t>1.成交人接成交通知后5个工作日内</w:t>
      </w:r>
      <w:r>
        <w:rPr>
          <w:rFonts w:hint="eastAsia" w:ascii="宋体" w:hAnsi="宋体"/>
          <w:bCs/>
          <w:color w:val="000000"/>
          <w:sz w:val="28"/>
          <w:szCs w:val="28"/>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pPr>
        <w:spacing w:line="480" w:lineRule="exact"/>
        <w:rPr>
          <w:rFonts w:ascii="宋体" w:hAnsi="宋体"/>
          <w:color w:val="000000"/>
          <w:sz w:val="28"/>
          <w:szCs w:val="28"/>
        </w:rPr>
      </w:pPr>
      <w:r>
        <w:rPr>
          <w:rFonts w:hint="eastAsia" w:ascii="宋体" w:hAnsi="宋体"/>
          <w:color w:val="000000"/>
          <w:sz w:val="28"/>
          <w:szCs w:val="28"/>
        </w:rPr>
        <w:t xml:space="preserve">    2.磋商文件（含磋商补充文件）、成交人的响应文件（含澄清文件）及磋商记录均为签订合同的依据；</w:t>
      </w:r>
    </w:p>
    <w:p>
      <w:pPr>
        <w:spacing w:line="480" w:lineRule="exact"/>
        <w:rPr>
          <w:rFonts w:ascii="宋体" w:hAnsi="宋体"/>
          <w:color w:val="000000"/>
          <w:sz w:val="28"/>
          <w:szCs w:val="28"/>
        </w:rPr>
      </w:pPr>
      <w:r>
        <w:rPr>
          <w:rFonts w:hint="eastAsia" w:ascii="宋体" w:hAnsi="宋体"/>
          <w:color w:val="000000"/>
          <w:sz w:val="28"/>
          <w:szCs w:val="28"/>
        </w:rPr>
        <w:t xml:space="preserve">    3.主管科室在签订采购合同后在单价不变的情况下有权对货物的数量予以适当的增加或减少。</w:t>
      </w:r>
    </w:p>
    <w:p>
      <w:pPr>
        <w:spacing w:line="480" w:lineRule="exact"/>
        <w:ind w:firstLine="600"/>
        <w:rPr>
          <w:rFonts w:ascii="宋体" w:hAnsi="宋体"/>
          <w:color w:val="000000"/>
          <w:sz w:val="28"/>
          <w:szCs w:val="28"/>
        </w:rPr>
      </w:pPr>
      <w:r>
        <w:rPr>
          <w:rFonts w:hint="eastAsia" w:ascii="宋体" w:hAnsi="宋体"/>
          <w:color w:val="000000"/>
          <w:sz w:val="28"/>
          <w:szCs w:val="28"/>
        </w:rPr>
        <w:t>4.成交人自接成交通知之日起30日内不签订采购合同的，绵阳市中医医院可单方面取消其成交资格，依实际情况追究责任。</w:t>
      </w:r>
    </w:p>
    <w:p>
      <w:pPr>
        <w:spacing w:line="480" w:lineRule="exact"/>
        <w:ind w:firstLine="600"/>
        <w:rPr>
          <w:rFonts w:ascii="宋体" w:hAnsi="宋体"/>
          <w:color w:val="000000"/>
          <w:sz w:val="28"/>
          <w:szCs w:val="28"/>
        </w:rPr>
      </w:pPr>
    </w:p>
    <w:p>
      <w:pPr>
        <w:pStyle w:val="12"/>
        <w:spacing w:line="480" w:lineRule="exact"/>
        <w:jc w:val="center"/>
        <w:rPr>
          <w:rFonts w:hAnsi="宋体"/>
          <w:b/>
          <w:color w:val="000000"/>
          <w:sz w:val="28"/>
          <w:szCs w:val="28"/>
        </w:rPr>
      </w:pPr>
      <w:r>
        <w:rPr>
          <w:rFonts w:hint="eastAsia" w:hAnsi="宋体"/>
          <w:b/>
          <w:color w:val="000000"/>
          <w:sz w:val="28"/>
          <w:szCs w:val="28"/>
        </w:rPr>
        <w:t>（十）质疑与投诉</w:t>
      </w:r>
    </w:p>
    <w:p>
      <w:pPr>
        <w:pStyle w:val="12"/>
        <w:spacing w:line="480" w:lineRule="exact"/>
        <w:jc w:val="center"/>
        <w:rPr>
          <w:rFonts w:hAnsi="宋体"/>
          <w:b/>
          <w:color w:val="000000"/>
          <w:sz w:val="28"/>
          <w:szCs w:val="28"/>
        </w:rPr>
      </w:pPr>
    </w:p>
    <w:p>
      <w:pPr>
        <w:pStyle w:val="12"/>
        <w:spacing w:line="480" w:lineRule="exact"/>
        <w:ind w:firstLine="560" w:firstLineChars="200"/>
        <w:rPr>
          <w:rFonts w:hAnsi="宋体"/>
          <w:bCs/>
          <w:color w:val="000000"/>
          <w:sz w:val="28"/>
          <w:szCs w:val="28"/>
        </w:rPr>
      </w:pPr>
      <w:r>
        <w:rPr>
          <w:rFonts w:hint="eastAsia" w:hAnsi="宋体"/>
          <w:bCs/>
          <w:color w:val="000000"/>
          <w:sz w:val="28"/>
          <w:szCs w:val="28"/>
        </w:rPr>
        <w:t>按国家现行法律法规执行。</w:t>
      </w:r>
    </w:p>
    <w:p>
      <w:pPr>
        <w:spacing w:line="480" w:lineRule="exact"/>
        <w:rPr>
          <w:rFonts w:ascii="宋体" w:hAnsi="宋体"/>
          <w:bCs/>
          <w:color w:val="000000"/>
          <w:sz w:val="28"/>
          <w:szCs w:val="28"/>
        </w:rPr>
      </w:pPr>
      <w:bookmarkStart w:id="21" w:name="_Toc414449094"/>
      <w:bookmarkStart w:id="22" w:name="_Toc414449933"/>
      <w:bookmarkStart w:id="23" w:name="_Toc413747183"/>
    </w:p>
    <w:p>
      <w:pPr>
        <w:pStyle w:val="3"/>
        <w:numPr>
          <w:ilvl w:val="0"/>
          <w:numId w:val="3"/>
        </w:numPr>
        <w:spacing w:line="276" w:lineRule="auto"/>
        <w:rPr>
          <w:rFonts w:ascii="宋体" w:hAnsi="宋体" w:eastAsia="宋体"/>
          <w:color w:val="000000"/>
          <w:sz w:val="36"/>
          <w:szCs w:val="36"/>
        </w:rPr>
      </w:pPr>
      <w:bookmarkStart w:id="24" w:name="_Toc409689468"/>
      <w:bookmarkStart w:id="25" w:name="_Toc414449928"/>
      <w:r>
        <w:rPr>
          <w:rFonts w:hint="eastAsia" w:ascii="宋体" w:hAnsi="宋体" w:eastAsia="宋体"/>
          <w:color w:val="000000"/>
          <w:sz w:val="36"/>
          <w:szCs w:val="36"/>
        </w:rPr>
        <w:t>项目技术及商务要求</w:t>
      </w:r>
      <w:bookmarkEnd w:id="24"/>
      <w:bookmarkEnd w:id="25"/>
    </w:p>
    <w:p/>
    <w:p>
      <w:pPr>
        <w:spacing w:line="360" w:lineRule="auto"/>
        <w:ind w:firstLine="600" w:firstLineChars="200"/>
        <w:outlineLvl w:val="1"/>
        <w:rPr>
          <w:rFonts w:ascii="仿宋" w:hAnsi="仿宋" w:eastAsia="仿宋" w:cs="仿宋"/>
          <w:b/>
          <w:sz w:val="30"/>
          <w:szCs w:val="30"/>
        </w:rPr>
      </w:pPr>
      <w:bookmarkStart w:id="26" w:name="_Toc16537"/>
      <w:r>
        <w:rPr>
          <w:rFonts w:hint="eastAsia" w:ascii="仿宋" w:hAnsi="仿宋" w:eastAsia="仿宋" w:cs="仿宋"/>
          <w:sz w:val="30"/>
          <w:szCs w:val="30"/>
        </w:rPr>
        <w:t>一、</w:t>
      </w:r>
      <w:r>
        <w:rPr>
          <w:rFonts w:hint="eastAsia" w:ascii="仿宋" w:hAnsi="仿宋" w:eastAsia="仿宋" w:cs="仿宋"/>
          <w:b/>
          <w:sz w:val="30"/>
          <w:szCs w:val="30"/>
        </w:rPr>
        <w:t>项目概述</w:t>
      </w:r>
      <w:bookmarkEnd w:id="26"/>
    </w:p>
    <w:p>
      <w:pPr>
        <w:adjustRightInd w:val="0"/>
        <w:snapToGrid w:val="0"/>
        <w:spacing w:line="360" w:lineRule="auto"/>
        <w:ind w:firstLine="560" w:firstLineChars="200"/>
        <w:rPr>
          <w:rFonts w:ascii="宋体" w:hAnsi="宋体" w:eastAsia="Calibri" w:cs="宋体"/>
          <w:color w:val="0000FF"/>
          <w:kern w:val="0"/>
          <w:szCs w:val="21"/>
          <w:highlight w:val="white"/>
        </w:rPr>
      </w:pPr>
      <w:bookmarkStart w:id="27" w:name="_Toc217446095"/>
      <w:r>
        <w:rPr>
          <w:rFonts w:hint="eastAsia" w:ascii="宋体" w:hAnsi="宋体"/>
          <w:color w:val="000000"/>
          <w:sz w:val="28"/>
          <w:szCs w:val="28"/>
        </w:rPr>
        <w:t>四川省绵阳市中医医院中医药传承与创新工程建设项目和科教综合楼建设项目总建筑面积新建68892平方米，改造5000平方米。包括：新建绵阳市中医医院经开区分院医疗业务用房 52405 平方米，其中地上建筑面积 44656平方米、地下建筑面积 7749平方米；改造绵阳市中医医院本部业务用房 5000平方米;配套附属设施建设等。新建绵阳市中医医院科教综合楼业务和辅助用房16487平方米(其中地上建筑面积13060平方米、地下建筑面积3427平方米),并配套相关设施设备等,建设项目投资4.98亿元，计划申报地方债券3.98亿元。</w:t>
      </w:r>
    </w:p>
    <w:p>
      <w:pPr>
        <w:spacing w:line="360" w:lineRule="auto"/>
        <w:ind w:firstLine="600" w:firstLineChars="200"/>
        <w:outlineLvl w:val="1"/>
        <w:rPr>
          <w:rFonts w:ascii="仿宋" w:hAnsi="仿宋" w:eastAsia="仿宋" w:cs="仿宋"/>
          <w:b/>
          <w:sz w:val="30"/>
          <w:szCs w:val="30"/>
        </w:rPr>
      </w:pPr>
      <w:bookmarkStart w:id="28" w:name="_Toc5091"/>
      <w:r>
        <w:rPr>
          <w:rFonts w:hint="eastAsia" w:ascii="仿宋" w:hAnsi="仿宋" w:eastAsia="仿宋" w:cs="仿宋"/>
          <w:b/>
          <w:bCs/>
          <w:sz w:val="30"/>
          <w:szCs w:val="30"/>
        </w:rPr>
        <w:t>二、</w:t>
      </w:r>
      <w:r>
        <w:rPr>
          <w:rFonts w:hint="eastAsia" w:ascii="仿宋" w:hAnsi="仿宋" w:eastAsia="仿宋" w:cs="仿宋"/>
          <w:b/>
          <w:sz w:val="30"/>
          <w:szCs w:val="30"/>
        </w:rPr>
        <w:t>服务内容及要求</w:t>
      </w:r>
      <w:bookmarkEnd w:id="28"/>
    </w:p>
    <w:p>
      <w:pPr>
        <w:spacing w:line="480" w:lineRule="exact"/>
        <w:ind w:firstLine="600"/>
        <w:rPr>
          <w:rFonts w:ascii="宋体" w:hAnsi="宋体"/>
          <w:color w:val="000000"/>
          <w:sz w:val="28"/>
          <w:szCs w:val="28"/>
        </w:rPr>
      </w:pPr>
      <w:r>
        <w:rPr>
          <w:rFonts w:hint="eastAsia" w:ascii="宋体" w:hAnsi="宋体"/>
          <w:color w:val="000000"/>
          <w:sz w:val="28"/>
          <w:szCs w:val="28"/>
        </w:rPr>
        <w:t>1.提供的项目基础资料，包含法规政策和财务数据等，从法律、政策性文件上进行分析论证，并提出关于实施方案编制基础的项目建议书。</w:t>
      </w:r>
    </w:p>
    <w:p>
      <w:pPr>
        <w:spacing w:line="480" w:lineRule="exact"/>
        <w:ind w:firstLine="600"/>
        <w:rPr>
          <w:rFonts w:ascii="宋体" w:hAnsi="宋体"/>
          <w:color w:val="000000"/>
          <w:sz w:val="28"/>
          <w:szCs w:val="28"/>
        </w:rPr>
      </w:pPr>
      <w:r>
        <w:rPr>
          <w:rFonts w:hint="eastAsia" w:ascii="宋体" w:hAnsi="宋体"/>
          <w:color w:val="000000"/>
          <w:sz w:val="28"/>
          <w:szCs w:val="28"/>
        </w:rPr>
        <w:t>2．根据采购人要求，对项目进行调整、规划包装，重新打包，以满足项目申报要求。</w:t>
      </w:r>
    </w:p>
    <w:p>
      <w:pPr>
        <w:spacing w:line="480" w:lineRule="exact"/>
        <w:ind w:firstLine="600"/>
        <w:rPr>
          <w:rFonts w:ascii="宋体" w:hAnsi="宋体"/>
          <w:color w:val="000000"/>
          <w:sz w:val="28"/>
          <w:szCs w:val="28"/>
        </w:rPr>
      </w:pPr>
      <w:r>
        <w:rPr>
          <w:rFonts w:hint="eastAsia" w:ascii="宋体" w:hAnsi="宋体"/>
          <w:color w:val="000000"/>
          <w:sz w:val="28"/>
          <w:szCs w:val="28"/>
        </w:rPr>
        <w:t>3.提供项目所在地经济社会分析，论证项目实施的社会经济效益，论证项目的公益性是否满足专项债券发行要求，并确保具备专项债券发行的前提条件。</w:t>
      </w:r>
    </w:p>
    <w:p>
      <w:pPr>
        <w:spacing w:line="480" w:lineRule="exact"/>
        <w:ind w:firstLine="600"/>
        <w:rPr>
          <w:rFonts w:ascii="宋体" w:hAnsi="宋体"/>
          <w:color w:val="000000"/>
          <w:sz w:val="28"/>
          <w:szCs w:val="28"/>
        </w:rPr>
      </w:pPr>
      <w:r>
        <w:rPr>
          <w:rFonts w:hint="eastAsia" w:ascii="宋体" w:hAnsi="宋体"/>
          <w:color w:val="000000"/>
          <w:sz w:val="28"/>
          <w:szCs w:val="28"/>
        </w:rPr>
        <w:t>4.根据历史及近期市场行情，客观分析项目收益和支出，并通过资金测算平衡表反映资金流向，分析项目收益是否可以覆盖成本，通过严谨测算使本次专项债券满足发行要求。</w:t>
      </w:r>
    </w:p>
    <w:p>
      <w:pPr>
        <w:spacing w:line="480" w:lineRule="exact"/>
        <w:ind w:firstLine="600"/>
        <w:rPr>
          <w:rFonts w:ascii="宋体" w:hAnsi="宋体"/>
          <w:color w:val="000000"/>
          <w:sz w:val="28"/>
          <w:szCs w:val="28"/>
        </w:rPr>
      </w:pPr>
      <w:r>
        <w:rPr>
          <w:rFonts w:hint="eastAsia" w:ascii="宋体" w:hAnsi="宋体"/>
          <w:color w:val="000000"/>
          <w:sz w:val="28"/>
          <w:szCs w:val="28"/>
        </w:rPr>
        <w:t>5.对本项目债券发行事宜进行整体梳理和规划，包含发行数量、期限、利率、项目风险、风险控制等事宜。</w:t>
      </w:r>
    </w:p>
    <w:p>
      <w:pPr>
        <w:spacing w:line="480" w:lineRule="exact"/>
        <w:ind w:firstLine="600"/>
        <w:rPr>
          <w:rFonts w:ascii="宋体" w:hAnsi="宋体"/>
          <w:color w:val="000000"/>
          <w:sz w:val="28"/>
          <w:szCs w:val="28"/>
        </w:rPr>
      </w:pPr>
      <w:r>
        <w:rPr>
          <w:rFonts w:hint="eastAsia" w:ascii="宋体" w:hAnsi="宋体"/>
          <w:color w:val="000000"/>
          <w:sz w:val="28"/>
          <w:szCs w:val="28"/>
        </w:rPr>
        <w:t>6．提供详细的项目资料准备清单。</w:t>
      </w:r>
    </w:p>
    <w:p>
      <w:pPr>
        <w:spacing w:line="480" w:lineRule="exact"/>
        <w:ind w:firstLine="600"/>
        <w:rPr>
          <w:rFonts w:ascii="宋体" w:hAnsi="宋体"/>
          <w:color w:val="000000"/>
          <w:sz w:val="28"/>
          <w:szCs w:val="28"/>
        </w:rPr>
      </w:pPr>
      <w:r>
        <w:rPr>
          <w:rFonts w:hint="eastAsia" w:ascii="宋体" w:hAnsi="宋体"/>
          <w:color w:val="000000"/>
          <w:sz w:val="28"/>
          <w:szCs w:val="28"/>
        </w:rPr>
        <w:t>7．对本次专项债申报项目有关的事宜进行解答，就本次专项债申报项目工作的部署和推进提出专业意见，加强各方理解和认识，保证实施方案的质量，为专项债申请成功提供技术支持。</w:t>
      </w:r>
    </w:p>
    <w:p>
      <w:pPr>
        <w:spacing w:line="480" w:lineRule="exact"/>
        <w:ind w:firstLine="600"/>
        <w:rPr>
          <w:rFonts w:ascii="宋体" w:hAnsi="宋体"/>
          <w:color w:val="000000"/>
          <w:sz w:val="28"/>
          <w:szCs w:val="28"/>
        </w:rPr>
      </w:pPr>
      <w:r>
        <w:rPr>
          <w:rFonts w:hint="eastAsia" w:ascii="宋体" w:hAnsi="宋体"/>
          <w:color w:val="000000"/>
          <w:sz w:val="28"/>
          <w:szCs w:val="28"/>
        </w:rPr>
        <w:t>8.根据采购人提供的立项、实施规划、环评、历年财务数据或者报表等，完成本项目债券顺利发行所须要的“一案两书”的编制工作，并通过专家会评审入库。</w:t>
      </w:r>
    </w:p>
    <w:p>
      <w:pPr>
        <w:spacing w:line="480" w:lineRule="exact"/>
        <w:ind w:firstLine="600"/>
        <w:rPr>
          <w:rFonts w:ascii="宋体" w:hAnsi="宋体"/>
          <w:color w:val="000000"/>
          <w:sz w:val="28"/>
          <w:szCs w:val="28"/>
        </w:rPr>
      </w:pPr>
      <w:r>
        <w:rPr>
          <w:rFonts w:hint="eastAsia" w:ascii="宋体" w:hAnsi="宋体"/>
          <w:color w:val="000000"/>
          <w:sz w:val="28"/>
          <w:szCs w:val="28"/>
        </w:rPr>
        <w:t>9．在“一案两书”申报成功后，审核和批复过程中，如需要进行修改，供应商应及时协助采购人完成后续的修改工作。</w:t>
      </w:r>
    </w:p>
    <w:p>
      <w:pPr>
        <w:spacing w:line="480" w:lineRule="exact"/>
        <w:ind w:firstLine="600"/>
        <w:rPr>
          <w:rFonts w:ascii="宋体" w:hAnsi="宋体"/>
          <w:color w:val="000000"/>
          <w:sz w:val="28"/>
          <w:szCs w:val="28"/>
        </w:rPr>
      </w:pPr>
      <w:r>
        <w:rPr>
          <w:rFonts w:hint="eastAsia" w:ascii="宋体" w:hAnsi="宋体"/>
          <w:color w:val="000000"/>
          <w:sz w:val="28"/>
          <w:szCs w:val="28"/>
        </w:rPr>
        <w:t xml:space="preserve">10.债券发行后，根据相关要求，定期协助贵单位完成债券的信息披露工作。                   </w:t>
      </w:r>
    </w:p>
    <w:bookmarkEnd w:id="27"/>
    <w:p>
      <w:pPr>
        <w:spacing w:line="480" w:lineRule="exact"/>
        <w:ind w:firstLine="600"/>
        <w:rPr>
          <w:rFonts w:ascii="宋体" w:hAnsi="宋体"/>
          <w:color w:val="000000"/>
          <w:sz w:val="28"/>
          <w:szCs w:val="28"/>
        </w:rPr>
      </w:pPr>
      <w:r>
        <w:rPr>
          <w:rFonts w:hint="eastAsia" w:ascii="宋体" w:hAnsi="宋体"/>
          <w:color w:val="000000"/>
          <w:sz w:val="28"/>
          <w:szCs w:val="28"/>
        </w:rPr>
        <w:t>11．供应商应对采购人提供的材料严格保密，不得向任何无关的第三方泄露。供应商承担因泄密造成损失的赔偿责任。</w:t>
      </w:r>
    </w:p>
    <w:p>
      <w:pPr>
        <w:pStyle w:val="8"/>
        <w:spacing w:line="360" w:lineRule="auto"/>
        <w:ind w:firstLine="600" w:firstLineChars="200"/>
        <w:outlineLvl w:val="1"/>
        <w:rPr>
          <w:rFonts w:ascii="仿宋" w:hAnsi="仿宋" w:eastAsia="仿宋" w:cs="仿宋"/>
          <w:b/>
          <w:bCs/>
          <w:sz w:val="30"/>
          <w:szCs w:val="30"/>
        </w:rPr>
      </w:pPr>
      <w:bookmarkStart w:id="29" w:name="_Toc8673"/>
      <w:r>
        <w:rPr>
          <w:rFonts w:hint="eastAsia" w:ascii="仿宋" w:hAnsi="仿宋" w:eastAsia="仿宋" w:cs="仿宋"/>
          <w:b/>
          <w:bCs/>
          <w:sz w:val="30"/>
          <w:szCs w:val="30"/>
          <w:highlight w:val="yellow"/>
        </w:rPr>
        <w:t>三、商务要求</w:t>
      </w:r>
      <w:bookmarkEnd w:id="29"/>
    </w:p>
    <w:p>
      <w:pPr>
        <w:pStyle w:val="8"/>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1.服务期限：按省地方政府专项债劵发行时间要求，及时完成申报。</w:t>
      </w:r>
    </w:p>
    <w:p>
      <w:pPr>
        <w:pStyle w:val="8"/>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2.付款方式：最终成果上报至四川省财政厅且进入2024年四川省政府项目收益与融资自求平衡专项债发行库后支付咨询服务费。</w:t>
      </w:r>
    </w:p>
    <w:p>
      <w:pPr>
        <w:pStyle w:val="8"/>
        <w:spacing w:line="360" w:lineRule="auto"/>
        <w:ind w:firstLine="560" w:firstLineChars="200"/>
        <w:rPr>
          <w:rFonts w:hint="eastAsia" w:ascii="宋体" w:hAnsi="宋体"/>
          <w:color w:val="000000"/>
          <w:sz w:val="28"/>
          <w:szCs w:val="28"/>
        </w:rPr>
      </w:pPr>
      <w:r>
        <w:rPr>
          <w:rFonts w:hint="eastAsia" w:ascii="宋体" w:hAnsi="宋体"/>
          <w:color w:val="000000"/>
          <w:sz w:val="28"/>
          <w:szCs w:val="28"/>
        </w:rPr>
        <w:t>3.验收：本项目实施过程及成果应严格执行《关于发展项目收益与融资自求平衡的地方政府专项债券品种的通知》的要求及相关规定要求；最终成果通过四川省财政厅审核，进入2024年四川省项目收益与融资自求平衡专项债发行库方视为验收合格。</w:t>
      </w:r>
    </w:p>
    <w:p>
      <w:pPr>
        <w:pStyle w:val="8"/>
        <w:spacing w:line="360" w:lineRule="auto"/>
        <w:ind w:firstLine="480" w:firstLineChars="200"/>
        <w:rPr>
          <w:rFonts w:ascii="仿宋" w:hAnsi="仿宋" w:eastAsia="仿宋" w:cs="仿宋"/>
          <w:b/>
          <w:bCs/>
          <w:sz w:val="24"/>
          <w:szCs w:val="24"/>
        </w:rPr>
      </w:pPr>
      <w:r>
        <w:rPr>
          <w:rFonts w:hint="eastAsia" w:ascii="仿宋" w:hAnsi="仿宋" w:eastAsia="仿宋" w:cs="仿宋"/>
          <w:b/>
          <w:bCs/>
          <w:sz w:val="24"/>
          <w:szCs w:val="24"/>
        </w:rPr>
        <w:t>注：以上三项均为实质性要求有负偏离的作无效响应处理。</w:t>
      </w:r>
    </w:p>
    <w:p>
      <w:pPr>
        <w:pStyle w:val="8"/>
        <w:spacing w:line="360" w:lineRule="auto"/>
        <w:ind w:firstLine="480" w:firstLineChars="200"/>
        <w:rPr>
          <w:rFonts w:ascii="仿宋" w:hAnsi="仿宋" w:eastAsia="仿宋" w:cs="仿宋"/>
          <w:b/>
          <w:bCs/>
          <w:sz w:val="24"/>
          <w:szCs w:val="24"/>
        </w:rPr>
      </w:pPr>
    </w:p>
    <w:p/>
    <w:p>
      <w:pPr>
        <w:rPr>
          <w:rFonts w:ascii="Arial" w:hAnsi="Arial" w:cs="Arial"/>
          <w:sz w:val="22"/>
        </w:rPr>
      </w:pPr>
    </w:p>
    <w:p>
      <w:pPr>
        <w:rPr>
          <w:rFonts w:ascii="Arial" w:hAnsi="Arial" w:cs="Arial"/>
          <w:sz w:val="22"/>
        </w:rPr>
      </w:pPr>
    </w:p>
    <w:p>
      <w:pPr>
        <w:spacing w:line="360" w:lineRule="auto"/>
        <w:ind w:firstLine="240" w:firstLineChars="100"/>
        <w:rPr>
          <w:rFonts w:ascii="宋体" w:hAnsi="宋体"/>
          <w:b/>
          <w:bCs/>
          <w:sz w:val="24"/>
          <w:szCs w:val="24"/>
        </w:rPr>
      </w:pPr>
      <w:r>
        <w:rPr>
          <w:rFonts w:hint="eastAsia" w:ascii="宋体" w:hAnsi="宋体"/>
          <w:b/>
          <w:bCs/>
          <w:sz w:val="24"/>
          <w:szCs w:val="24"/>
        </w:rPr>
        <w:t>详细内容咨询：自行与我院财务科（周一到周五上午8点至12点,下午14点30分到17点30分)</w:t>
      </w:r>
    </w:p>
    <w:p>
      <w:pPr>
        <w:pStyle w:val="120"/>
        <w:spacing w:line="360" w:lineRule="auto"/>
        <w:ind w:firstLineChars="175"/>
        <w:jc w:val="left"/>
        <w:rPr>
          <w:rFonts w:ascii="宋体" w:hAnsi="宋体" w:cs="Arial"/>
          <w:b/>
          <w:color w:val="000000"/>
          <w:sz w:val="24"/>
        </w:rPr>
      </w:pPr>
      <w:r>
        <w:rPr>
          <w:rFonts w:hint="eastAsia" w:ascii="宋体" w:hAnsi="宋体" w:cs="Arial"/>
          <w:b/>
          <w:color w:val="000000"/>
          <w:sz w:val="24"/>
        </w:rPr>
        <w:t>其它未尽事宜，以磋商会现场讨论为准</w:t>
      </w:r>
    </w:p>
    <w:p>
      <w:pPr>
        <w:spacing w:line="360" w:lineRule="auto"/>
        <w:ind w:firstLine="560" w:firstLineChars="200"/>
        <w:rPr>
          <w:rFonts w:ascii="宋体" w:hAnsi="宋体" w:cs="仿宋_GB2312"/>
          <w:bCs/>
          <w:sz w:val="28"/>
          <w:szCs w:val="28"/>
        </w:rPr>
      </w:pPr>
    </w:p>
    <w:bookmarkEnd w:id="21"/>
    <w:bookmarkEnd w:id="22"/>
    <w:bookmarkEnd w:id="23"/>
    <w:p>
      <w:pPr>
        <w:pStyle w:val="3"/>
        <w:spacing w:line="415" w:lineRule="auto"/>
        <w:rPr>
          <w:rFonts w:ascii="宋体" w:hAnsi="宋体" w:eastAsia="宋体"/>
          <w:color w:val="000000"/>
          <w:sz w:val="36"/>
          <w:szCs w:val="36"/>
        </w:rPr>
      </w:pPr>
      <w:bookmarkStart w:id="30" w:name="_Toc409689473"/>
      <w:bookmarkStart w:id="31" w:name="_Toc414449934"/>
      <w:r>
        <w:rPr>
          <w:rFonts w:hint="eastAsia" w:ascii="宋体" w:hAnsi="宋体" w:eastAsia="宋体"/>
          <w:color w:val="000000"/>
          <w:sz w:val="36"/>
          <w:szCs w:val="36"/>
        </w:rPr>
        <w:t>第四章 附件（响应文件格式）</w:t>
      </w:r>
      <w:bookmarkEnd w:id="30"/>
      <w:bookmarkEnd w:id="31"/>
    </w:p>
    <w:p>
      <w:pPr>
        <w:rPr>
          <w:b/>
          <w:bCs/>
          <w:sz w:val="28"/>
          <w:szCs w:val="28"/>
        </w:rPr>
      </w:pPr>
      <w:r>
        <w:rPr>
          <w:rFonts w:hint="eastAsia"/>
          <w:b/>
          <w:bCs/>
          <w:sz w:val="28"/>
          <w:szCs w:val="28"/>
        </w:rPr>
        <w:t>有关格式自拟，院方不做要求</w:t>
      </w:r>
    </w:p>
    <w:p>
      <w:pPr>
        <w:pStyle w:val="3"/>
        <w:spacing w:line="400" w:lineRule="exact"/>
        <w:rPr>
          <w:rFonts w:ascii="宋体" w:hAnsi="宋体" w:eastAsia="宋体"/>
          <w:color w:val="000000"/>
          <w:sz w:val="28"/>
          <w:szCs w:val="28"/>
        </w:rPr>
      </w:pPr>
      <w:bookmarkStart w:id="32" w:name="_Toc408389223"/>
      <w:bookmarkStart w:id="33" w:name="_Toc409689474"/>
      <w:bookmarkStart w:id="34" w:name="_Toc408391169"/>
      <w:bookmarkStart w:id="35" w:name="_Toc410298050"/>
      <w:bookmarkStart w:id="36" w:name="_Toc217446083"/>
      <w:bookmarkStart w:id="37" w:name="_Toc414449935"/>
      <w:bookmarkStart w:id="38" w:name="_Toc405797574"/>
      <w:r>
        <w:rPr>
          <w:rFonts w:hint="eastAsia" w:ascii="宋体" w:hAnsi="宋体" w:eastAsia="宋体"/>
          <w:color w:val="000000"/>
          <w:sz w:val="28"/>
          <w:szCs w:val="28"/>
        </w:rPr>
        <w:t>授权委托书</w:t>
      </w:r>
      <w:bookmarkEnd w:id="32"/>
      <w:bookmarkEnd w:id="33"/>
      <w:bookmarkEnd w:id="34"/>
      <w:bookmarkEnd w:id="35"/>
      <w:bookmarkEnd w:id="36"/>
      <w:bookmarkEnd w:id="37"/>
      <w:bookmarkEnd w:id="38"/>
    </w:p>
    <w:p>
      <w:pPr>
        <w:spacing w:line="400" w:lineRule="exact"/>
        <w:jc w:val="center"/>
        <w:rPr>
          <w:rFonts w:ascii="宋体" w:hAnsi="宋体"/>
          <w:b/>
          <w:color w:val="000000"/>
          <w:sz w:val="28"/>
          <w:szCs w:val="28"/>
        </w:rPr>
      </w:pPr>
    </w:p>
    <w:p>
      <w:pPr>
        <w:spacing w:line="400" w:lineRule="exact"/>
        <w:jc w:val="center"/>
        <w:rPr>
          <w:rFonts w:ascii="宋体" w:hAnsi="宋体"/>
          <w:b/>
          <w:color w:val="000000"/>
          <w:sz w:val="28"/>
          <w:szCs w:val="28"/>
        </w:rPr>
      </w:pPr>
    </w:p>
    <w:p>
      <w:pPr>
        <w:spacing w:line="400" w:lineRule="exact"/>
        <w:rPr>
          <w:rFonts w:ascii="宋体" w:hAnsi="宋体"/>
          <w:color w:val="000000"/>
          <w:sz w:val="28"/>
          <w:szCs w:val="28"/>
        </w:rPr>
      </w:pPr>
      <w:r>
        <w:rPr>
          <w:rFonts w:hint="eastAsia" w:ascii="宋体" w:hAnsi="宋体"/>
          <w:color w:val="000000"/>
          <w:sz w:val="28"/>
          <w:szCs w:val="28"/>
          <w:u w:val="single"/>
        </w:rPr>
        <w:t>_绵阳中医医院</w:t>
      </w:r>
      <w:r>
        <w:rPr>
          <w:rFonts w:hint="eastAsia" w:ascii="宋体" w:hAnsi="宋体"/>
          <w:color w:val="000000"/>
          <w:sz w:val="28"/>
          <w:szCs w:val="28"/>
        </w:rPr>
        <w:t>：</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本授权声明：</w:t>
      </w:r>
      <w:r>
        <w:rPr>
          <w:rFonts w:hint="eastAsia" w:ascii="宋体" w:hAnsi="宋体"/>
          <w:color w:val="000000"/>
          <w:sz w:val="28"/>
          <w:szCs w:val="28"/>
          <w:u w:val="single"/>
        </w:rPr>
        <w:t xml:space="preserve">                     </w:t>
      </w:r>
      <w:r>
        <w:rPr>
          <w:rFonts w:hint="eastAsia" w:ascii="宋体" w:hAnsi="宋体"/>
          <w:color w:val="000000"/>
          <w:sz w:val="28"/>
          <w:szCs w:val="28"/>
        </w:rPr>
        <w:t>（投标人名称）</w:t>
      </w:r>
      <w:r>
        <w:rPr>
          <w:rFonts w:hint="eastAsia" w:ascii="宋体" w:hAnsi="宋体"/>
          <w:color w:val="000000"/>
          <w:sz w:val="28"/>
          <w:szCs w:val="28"/>
          <w:u w:val="single"/>
        </w:rPr>
        <w:t xml:space="preserve">          </w:t>
      </w:r>
      <w:r>
        <w:rPr>
          <w:rFonts w:hint="eastAsia" w:ascii="宋体" w:hAnsi="宋体"/>
          <w:color w:val="000000"/>
          <w:sz w:val="28"/>
          <w:szCs w:val="28"/>
        </w:rPr>
        <w:t>（法人单位法定代表人姓名、职务；非法人单位负责人姓名、职务或自然人投标则为投标人姓名）授权</w:t>
      </w:r>
      <w:r>
        <w:rPr>
          <w:rFonts w:hint="eastAsia" w:ascii="宋体" w:hAnsi="宋体"/>
          <w:color w:val="000000"/>
          <w:sz w:val="28"/>
          <w:szCs w:val="28"/>
          <w:u w:val="single"/>
        </w:rPr>
        <w:t xml:space="preserve">                        </w:t>
      </w:r>
      <w:r>
        <w:rPr>
          <w:rFonts w:hint="eastAsia" w:ascii="宋体" w:hAnsi="宋体"/>
          <w:color w:val="000000"/>
          <w:sz w:val="28"/>
          <w:szCs w:val="28"/>
        </w:rPr>
        <w:t xml:space="preserve">（被授权人姓名、职务）为我方 “ </w:t>
      </w:r>
      <w:r>
        <w:rPr>
          <w:rFonts w:hint="eastAsia" w:ascii="宋体" w:hAnsi="宋体"/>
          <w:color w:val="000000"/>
          <w:sz w:val="28"/>
          <w:szCs w:val="28"/>
          <w:u w:val="single"/>
        </w:rPr>
        <w:t xml:space="preserve">             </w:t>
      </w:r>
      <w:r>
        <w:rPr>
          <w:rFonts w:hint="eastAsia" w:ascii="宋体" w:hAnsi="宋体"/>
          <w:color w:val="000000"/>
          <w:sz w:val="28"/>
          <w:szCs w:val="28"/>
        </w:rPr>
        <w:t>” 项目（招标编号）投标活动的合法代表，特别授权以我方名义全权处理该项目有关投标、签订合同以及执行合同等一切事宜。</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特此声明。</w:t>
      </w:r>
    </w:p>
    <w:p>
      <w:pPr>
        <w:spacing w:line="400" w:lineRule="exact"/>
        <w:ind w:firstLine="560" w:firstLineChars="200"/>
        <w:rPr>
          <w:rFonts w:ascii="宋体" w:hAnsi="宋体"/>
          <w:color w:val="000000"/>
          <w:sz w:val="28"/>
          <w:szCs w:val="28"/>
        </w:rPr>
      </w:pPr>
    </w:p>
    <w:p>
      <w:pPr>
        <w:spacing w:line="400" w:lineRule="exact"/>
        <w:ind w:firstLine="560" w:firstLineChars="200"/>
        <w:rPr>
          <w:rFonts w:ascii="宋体" w:hAnsi="宋体"/>
          <w:color w:val="000000"/>
          <w:sz w:val="28"/>
          <w:szCs w:val="28"/>
        </w:rPr>
      </w:pP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法定代表人（负责人或投标人）签字：</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授权代表签字：</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投标人名称：         （盖章）</w:t>
      </w:r>
    </w:p>
    <w:p>
      <w:pPr>
        <w:spacing w:line="400" w:lineRule="exact"/>
        <w:ind w:firstLine="560" w:firstLineChars="200"/>
        <w:rPr>
          <w:rFonts w:ascii="宋体" w:hAnsi="宋体"/>
          <w:color w:val="000000"/>
          <w:sz w:val="28"/>
          <w:szCs w:val="28"/>
        </w:rPr>
      </w:pPr>
      <w:r>
        <w:rPr>
          <w:rFonts w:hint="eastAsia" w:ascii="宋体" w:hAnsi="宋体"/>
          <w:color w:val="000000"/>
          <w:sz w:val="28"/>
          <w:szCs w:val="28"/>
        </w:rPr>
        <w:t>日    期：</w:t>
      </w:r>
    </w:p>
    <w:p>
      <w:pPr>
        <w:spacing w:line="360" w:lineRule="auto"/>
        <w:ind w:firstLine="480" w:firstLineChars="200"/>
        <w:rPr>
          <w:rFonts w:ascii="仿宋_GB2312" w:hAnsi="仿宋_GB2312" w:eastAsia="仿宋_GB2312" w:cs="仿宋_GB2312"/>
          <w:bCs/>
          <w:sz w:val="24"/>
          <w:szCs w:val="24"/>
        </w:rPr>
      </w:pPr>
      <w:bookmarkStart w:id="39" w:name="_Toc414449938"/>
      <w:bookmarkStart w:id="40" w:name="_Toc409689477"/>
    </w:p>
    <w:p>
      <w:pPr>
        <w:spacing w:line="360" w:lineRule="auto"/>
        <w:rPr>
          <w:rFonts w:ascii="仿宋_GB2312" w:hAnsi="仿宋_GB2312" w:eastAsia="仿宋_GB2312" w:cs="仿宋_GB2312"/>
          <w:b/>
          <w:sz w:val="24"/>
          <w:szCs w:val="24"/>
          <w:lang w:val="zh-CN"/>
        </w:rPr>
      </w:pPr>
      <w:r>
        <w:rPr>
          <w:rFonts w:hint="eastAsia" w:ascii="仿宋_GB2312" w:hAnsi="仿宋_GB2312" w:eastAsia="仿宋_GB2312" w:cs="仿宋_GB2312"/>
          <w:b/>
          <w:sz w:val="24"/>
          <w:szCs w:val="24"/>
          <w:lang w:val="zh-CN"/>
        </w:rPr>
        <w:t>附：代理人身份证复印件（加盖公章）</w:t>
      </w:r>
    </w:p>
    <w:p>
      <w:pPr>
        <w:spacing w:line="360" w:lineRule="auto"/>
        <w:ind w:firstLine="480" w:firstLineChars="200"/>
        <w:rPr>
          <w:rFonts w:ascii="仿宋_GB2312" w:hAnsi="仿宋_GB2312" w:eastAsia="仿宋_GB2312" w:cs="仿宋_GB2312"/>
          <w:sz w:val="24"/>
          <w:szCs w:val="24"/>
        </w:rPr>
      </w:pP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说明：</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lang w:val="zh-CN"/>
        </w:rPr>
        <w:t>（</w:t>
      </w:r>
      <w:r>
        <w:rPr>
          <w:rFonts w:hint="eastAsia" w:ascii="仿宋_GB2312" w:hAnsi="仿宋_GB2312" w:eastAsia="仿宋_GB2312" w:cs="仿宋_GB2312"/>
          <w:b/>
          <w:sz w:val="24"/>
          <w:szCs w:val="24"/>
        </w:rPr>
        <w:t>1</w:t>
      </w:r>
      <w:r>
        <w:rPr>
          <w:rFonts w:hint="eastAsia" w:ascii="仿宋_GB2312" w:hAnsi="仿宋_GB2312" w:eastAsia="仿宋_GB2312" w:cs="仿宋_GB2312"/>
          <w:b/>
          <w:sz w:val="24"/>
          <w:szCs w:val="24"/>
          <w:lang w:val="zh-CN"/>
        </w:rPr>
        <w:t>）上述证明文件在磋商采购文件中附有代理人身份证复印件（身份证复印件加盖公章）时才能生效</w:t>
      </w:r>
      <w:r>
        <w:rPr>
          <w:rFonts w:hint="eastAsia" w:ascii="仿宋_GB2312" w:hAnsi="仿宋_GB2312" w:eastAsia="仿宋_GB2312" w:cs="仿宋_GB2312"/>
          <w:b/>
          <w:sz w:val="24"/>
          <w:szCs w:val="24"/>
        </w:rPr>
        <w:t>。</w:t>
      </w:r>
    </w:p>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sz w:val="24"/>
          <w:szCs w:val="24"/>
        </w:rPr>
        <w:t>（2）磋商采购文件均由供应商法定代表人签字的,磋商采购文件中可不提供该附件的内容。</w:t>
      </w:r>
    </w:p>
    <w:p>
      <w:pPr>
        <w:spacing w:line="360" w:lineRule="auto"/>
        <w:jc w:val="center"/>
        <w:rPr>
          <w:rFonts w:ascii="仿宋_GB2312" w:hAnsi="仿宋_GB2312" w:eastAsia="仿宋_GB2312" w:cs="仿宋_GB2312"/>
          <w:b/>
          <w:bCs/>
          <w:sz w:val="24"/>
          <w:szCs w:val="24"/>
        </w:rPr>
      </w:pPr>
    </w:p>
    <w:p>
      <w:pPr>
        <w:spacing w:line="360" w:lineRule="auto"/>
        <w:jc w:val="left"/>
        <w:outlineLvl w:val="1"/>
        <w:rPr>
          <w:rFonts w:ascii="仿宋" w:hAnsi="仿宋" w:eastAsia="仿宋" w:cs="仿宋"/>
          <w:b/>
          <w:bCs/>
          <w:sz w:val="30"/>
          <w:szCs w:val="30"/>
        </w:rPr>
      </w:pPr>
      <w:r>
        <w:rPr>
          <w:rFonts w:hint="eastAsia" w:ascii="仿宋_GB2312" w:hAnsi="仿宋_GB2312" w:eastAsia="仿宋_GB2312" w:cs="仿宋_GB2312"/>
          <w:b/>
          <w:bCs/>
          <w:sz w:val="24"/>
          <w:szCs w:val="24"/>
        </w:rPr>
        <w:br w:type="page"/>
      </w:r>
      <w:bookmarkStart w:id="41" w:name="_Toc8549"/>
      <w:r>
        <w:rPr>
          <w:rFonts w:hint="eastAsia" w:ascii="仿宋" w:hAnsi="仿宋" w:eastAsia="仿宋" w:cs="仿宋"/>
          <w:b/>
          <w:bCs/>
          <w:sz w:val="30"/>
          <w:szCs w:val="30"/>
        </w:rPr>
        <w:t xml:space="preserve"> 供应商基本情况表</w:t>
      </w:r>
      <w:bookmarkEnd w:id="41"/>
    </w:p>
    <w:p>
      <w:pPr>
        <w:spacing w:line="360" w:lineRule="auto"/>
        <w:jc w:val="center"/>
        <w:rPr>
          <w:rFonts w:ascii="仿宋" w:hAnsi="仿宋" w:eastAsia="仿宋" w:cs="仿宋"/>
          <w:b/>
          <w:bCs/>
          <w:sz w:val="28"/>
          <w:szCs w:val="36"/>
        </w:rPr>
      </w:pPr>
      <w:r>
        <w:rPr>
          <w:rFonts w:hint="eastAsia" w:ascii="仿宋" w:hAnsi="仿宋" w:eastAsia="仿宋" w:cs="仿宋"/>
          <w:b/>
          <w:bCs/>
          <w:sz w:val="28"/>
          <w:szCs w:val="36"/>
        </w:rPr>
        <w:t>供应商基本情况表</w:t>
      </w:r>
    </w:p>
    <w:tbl>
      <w:tblPr>
        <w:tblStyle w:val="26"/>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996"/>
        <w:gridCol w:w="166"/>
        <w:gridCol w:w="1162"/>
        <w:gridCol w:w="1162"/>
        <w:gridCol w:w="387"/>
        <w:gridCol w:w="443"/>
        <w:gridCol w:w="332"/>
        <w:gridCol w:w="775"/>
        <w:gridCol w:w="272"/>
        <w:gridCol w:w="115"/>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供应商名称</w:t>
            </w:r>
          </w:p>
        </w:tc>
        <w:tc>
          <w:tcPr>
            <w:tcW w:w="6972" w:type="dxa"/>
            <w:gridSpan w:val="11"/>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注册地址</w:t>
            </w:r>
          </w:p>
        </w:tc>
        <w:tc>
          <w:tcPr>
            <w:tcW w:w="4316" w:type="dxa"/>
            <w:gridSpan w:val="6"/>
            <w:vAlign w:val="center"/>
          </w:tcPr>
          <w:p>
            <w:pPr>
              <w:spacing w:line="360" w:lineRule="auto"/>
              <w:jc w:val="center"/>
              <w:rPr>
                <w:rFonts w:ascii="仿宋_GB2312" w:hAnsi="仿宋_GB2312" w:eastAsia="仿宋_GB2312" w:cs="仿宋_GB2312"/>
                <w:bCs/>
                <w:sz w:val="24"/>
                <w:szCs w:val="24"/>
              </w:rPr>
            </w:pPr>
          </w:p>
        </w:tc>
        <w:tc>
          <w:tcPr>
            <w:tcW w:w="1379"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邮政编码</w:t>
            </w:r>
          </w:p>
        </w:tc>
        <w:tc>
          <w:tcPr>
            <w:tcW w:w="1277" w:type="dxa"/>
            <w:gridSpan w:val="2"/>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494" w:type="dxa"/>
            <w:vMerge w:val="restart"/>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联系方式</w:t>
            </w:r>
          </w:p>
        </w:tc>
        <w:tc>
          <w:tcPr>
            <w:tcW w:w="996"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联系人</w:t>
            </w:r>
          </w:p>
        </w:tc>
        <w:tc>
          <w:tcPr>
            <w:tcW w:w="3320" w:type="dxa"/>
            <w:gridSpan w:val="5"/>
            <w:vAlign w:val="center"/>
          </w:tcPr>
          <w:p>
            <w:pPr>
              <w:spacing w:line="360" w:lineRule="auto"/>
              <w:jc w:val="center"/>
              <w:rPr>
                <w:rFonts w:ascii="仿宋_GB2312" w:hAnsi="仿宋_GB2312" w:eastAsia="仿宋_GB2312" w:cs="仿宋_GB2312"/>
                <w:bCs/>
                <w:sz w:val="24"/>
                <w:szCs w:val="24"/>
              </w:rPr>
            </w:pPr>
          </w:p>
        </w:tc>
        <w:tc>
          <w:tcPr>
            <w:tcW w:w="1379"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1277" w:type="dxa"/>
            <w:gridSpan w:val="2"/>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494" w:type="dxa"/>
            <w:vMerge w:val="continue"/>
            <w:vAlign w:val="center"/>
          </w:tcPr>
          <w:p>
            <w:pPr>
              <w:spacing w:line="360" w:lineRule="auto"/>
              <w:jc w:val="center"/>
              <w:rPr>
                <w:rFonts w:ascii="仿宋_GB2312" w:hAnsi="仿宋_GB2312" w:eastAsia="仿宋_GB2312" w:cs="仿宋_GB2312"/>
                <w:bCs/>
                <w:sz w:val="24"/>
                <w:szCs w:val="24"/>
              </w:rPr>
            </w:pPr>
          </w:p>
        </w:tc>
        <w:tc>
          <w:tcPr>
            <w:tcW w:w="996"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传真</w:t>
            </w:r>
          </w:p>
        </w:tc>
        <w:tc>
          <w:tcPr>
            <w:tcW w:w="3320" w:type="dxa"/>
            <w:gridSpan w:val="5"/>
            <w:vAlign w:val="center"/>
          </w:tcPr>
          <w:p>
            <w:pPr>
              <w:spacing w:line="360" w:lineRule="auto"/>
              <w:jc w:val="center"/>
              <w:rPr>
                <w:rFonts w:ascii="仿宋_GB2312" w:hAnsi="仿宋_GB2312" w:eastAsia="仿宋_GB2312" w:cs="仿宋_GB2312"/>
                <w:bCs/>
                <w:sz w:val="24"/>
                <w:szCs w:val="24"/>
              </w:rPr>
            </w:pPr>
          </w:p>
        </w:tc>
        <w:tc>
          <w:tcPr>
            <w:tcW w:w="1379"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网址</w:t>
            </w:r>
          </w:p>
        </w:tc>
        <w:tc>
          <w:tcPr>
            <w:tcW w:w="1277" w:type="dxa"/>
            <w:gridSpan w:val="2"/>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组织结构</w:t>
            </w:r>
          </w:p>
        </w:tc>
        <w:tc>
          <w:tcPr>
            <w:tcW w:w="6972" w:type="dxa"/>
            <w:gridSpan w:val="11"/>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法定代表人</w:t>
            </w:r>
          </w:p>
        </w:tc>
        <w:tc>
          <w:tcPr>
            <w:tcW w:w="1162" w:type="dxa"/>
            <w:gridSpan w:val="2"/>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162" w:type="dxa"/>
            <w:vAlign w:val="center"/>
          </w:tcPr>
          <w:p>
            <w:pPr>
              <w:spacing w:line="360" w:lineRule="auto"/>
              <w:jc w:val="center"/>
              <w:rPr>
                <w:rFonts w:ascii="仿宋_GB2312" w:hAnsi="仿宋_GB2312" w:eastAsia="仿宋_GB2312" w:cs="仿宋_GB2312"/>
                <w:bCs/>
                <w:sz w:val="24"/>
                <w:szCs w:val="24"/>
              </w:rPr>
            </w:pPr>
          </w:p>
        </w:tc>
        <w:tc>
          <w:tcPr>
            <w:tcW w:w="1162"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技术职称</w:t>
            </w:r>
          </w:p>
        </w:tc>
        <w:tc>
          <w:tcPr>
            <w:tcW w:w="1162" w:type="dxa"/>
            <w:gridSpan w:val="3"/>
            <w:vAlign w:val="center"/>
          </w:tcPr>
          <w:p>
            <w:pPr>
              <w:spacing w:line="360" w:lineRule="auto"/>
              <w:jc w:val="center"/>
              <w:rPr>
                <w:rFonts w:ascii="仿宋_GB2312" w:hAnsi="仿宋_GB2312" w:eastAsia="仿宋_GB2312" w:cs="仿宋_GB2312"/>
                <w:bCs/>
                <w:sz w:val="24"/>
                <w:szCs w:val="24"/>
              </w:rPr>
            </w:pPr>
          </w:p>
        </w:tc>
        <w:tc>
          <w:tcPr>
            <w:tcW w:w="1162"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1162" w:type="dxa"/>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技术负责人</w:t>
            </w:r>
          </w:p>
        </w:tc>
        <w:tc>
          <w:tcPr>
            <w:tcW w:w="1162" w:type="dxa"/>
            <w:gridSpan w:val="2"/>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姓名</w:t>
            </w:r>
          </w:p>
        </w:tc>
        <w:tc>
          <w:tcPr>
            <w:tcW w:w="1162" w:type="dxa"/>
            <w:vAlign w:val="center"/>
          </w:tcPr>
          <w:p>
            <w:pPr>
              <w:spacing w:line="360" w:lineRule="auto"/>
              <w:jc w:val="center"/>
              <w:rPr>
                <w:rFonts w:ascii="仿宋_GB2312" w:hAnsi="仿宋_GB2312" w:eastAsia="仿宋_GB2312" w:cs="仿宋_GB2312"/>
                <w:bCs/>
                <w:sz w:val="24"/>
                <w:szCs w:val="24"/>
              </w:rPr>
            </w:pPr>
          </w:p>
        </w:tc>
        <w:tc>
          <w:tcPr>
            <w:tcW w:w="1162"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技术职称</w:t>
            </w:r>
          </w:p>
        </w:tc>
        <w:tc>
          <w:tcPr>
            <w:tcW w:w="1162" w:type="dxa"/>
            <w:gridSpan w:val="3"/>
            <w:vAlign w:val="center"/>
          </w:tcPr>
          <w:p>
            <w:pPr>
              <w:spacing w:line="360" w:lineRule="auto"/>
              <w:jc w:val="center"/>
              <w:rPr>
                <w:rFonts w:ascii="仿宋_GB2312" w:hAnsi="仿宋_GB2312" w:eastAsia="仿宋_GB2312" w:cs="仿宋_GB2312"/>
                <w:bCs/>
                <w:sz w:val="24"/>
                <w:szCs w:val="24"/>
              </w:rPr>
            </w:pPr>
          </w:p>
        </w:tc>
        <w:tc>
          <w:tcPr>
            <w:tcW w:w="1162"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联系电话</w:t>
            </w:r>
          </w:p>
        </w:tc>
        <w:tc>
          <w:tcPr>
            <w:tcW w:w="1162" w:type="dxa"/>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成立时间</w:t>
            </w:r>
          </w:p>
        </w:tc>
        <w:tc>
          <w:tcPr>
            <w:tcW w:w="2324" w:type="dxa"/>
            <w:gridSpan w:val="3"/>
            <w:vAlign w:val="center"/>
          </w:tcPr>
          <w:p>
            <w:pPr>
              <w:spacing w:line="360" w:lineRule="auto"/>
              <w:jc w:val="center"/>
              <w:rPr>
                <w:rFonts w:ascii="仿宋_GB2312" w:hAnsi="仿宋_GB2312" w:eastAsia="仿宋_GB2312" w:cs="仿宋_GB2312"/>
                <w:bCs/>
                <w:sz w:val="24"/>
                <w:szCs w:val="24"/>
              </w:rPr>
            </w:pPr>
          </w:p>
        </w:tc>
        <w:tc>
          <w:tcPr>
            <w:tcW w:w="4648" w:type="dxa"/>
            <w:gridSpan w:val="8"/>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企业资质等级</w:t>
            </w:r>
          </w:p>
        </w:tc>
        <w:tc>
          <w:tcPr>
            <w:tcW w:w="2324" w:type="dxa"/>
            <w:gridSpan w:val="3"/>
            <w:vAlign w:val="center"/>
          </w:tcPr>
          <w:p>
            <w:pPr>
              <w:spacing w:line="360" w:lineRule="auto"/>
              <w:jc w:val="center"/>
              <w:rPr>
                <w:rFonts w:ascii="仿宋_GB2312" w:hAnsi="仿宋_GB2312" w:eastAsia="仿宋_GB2312" w:cs="仿宋_GB2312"/>
                <w:bCs/>
                <w:sz w:val="24"/>
                <w:szCs w:val="24"/>
              </w:rPr>
            </w:pPr>
          </w:p>
        </w:tc>
        <w:tc>
          <w:tcPr>
            <w:tcW w:w="1549" w:type="dxa"/>
            <w:gridSpan w:val="2"/>
            <w:vMerge w:val="restart"/>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其中</w:t>
            </w:r>
          </w:p>
        </w:tc>
        <w:tc>
          <w:tcPr>
            <w:tcW w:w="1550"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项目经理</w:t>
            </w:r>
          </w:p>
        </w:tc>
        <w:tc>
          <w:tcPr>
            <w:tcW w:w="1549" w:type="dxa"/>
            <w:gridSpan w:val="3"/>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营业执照</w:t>
            </w:r>
            <w:r>
              <w:rPr>
                <w:rFonts w:hint="eastAsia" w:ascii="仿宋_GB2312" w:hAnsi="仿宋_GB2312" w:eastAsia="仿宋_GB2312" w:cs="仿宋_GB2312"/>
                <w:sz w:val="24"/>
                <w:szCs w:val="24"/>
              </w:rPr>
              <w:t>号</w:t>
            </w:r>
          </w:p>
        </w:tc>
        <w:tc>
          <w:tcPr>
            <w:tcW w:w="2324" w:type="dxa"/>
            <w:gridSpan w:val="3"/>
            <w:vAlign w:val="center"/>
          </w:tcPr>
          <w:p>
            <w:pPr>
              <w:spacing w:line="360" w:lineRule="auto"/>
              <w:jc w:val="center"/>
              <w:rPr>
                <w:rFonts w:ascii="仿宋_GB2312" w:hAnsi="仿宋_GB2312" w:eastAsia="仿宋_GB2312" w:cs="仿宋_GB2312"/>
                <w:bCs/>
                <w:sz w:val="24"/>
                <w:szCs w:val="24"/>
              </w:rPr>
            </w:pPr>
          </w:p>
        </w:tc>
        <w:tc>
          <w:tcPr>
            <w:tcW w:w="1549" w:type="dxa"/>
            <w:gridSpan w:val="2"/>
            <w:vMerge w:val="continue"/>
            <w:vAlign w:val="center"/>
          </w:tcPr>
          <w:p>
            <w:pPr>
              <w:spacing w:line="360" w:lineRule="auto"/>
              <w:jc w:val="center"/>
              <w:rPr>
                <w:rFonts w:ascii="仿宋_GB2312" w:hAnsi="仿宋_GB2312" w:eastAsia="仿宋_GB2312" w:cs="仿宋_GB2312"/>
                <w:bCs/>
                <w:sz w:val="24"/>
                <w:szCs w:val="24"/>
              </w:rPr>
            </w:pPr>
          </w:p>
        </w:tc>
        <w:tc>
          <w:tcPr>
            <w:tcW w:w="1550"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高级职称人员</w:t>
            </w:r>
          </w:p>
        </w:tc>
        <w:tc>
          <w:tcPr>
            <w:tcW w:w="1549" w:type="dxa"/>
            <w:gridSpan w:val="3"/>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注册资金</w:t>
            </w:r>
          </w:p>
        </w:tc>
        <w:tc>
          <w:tcPr>
            <w:tcW w:w="2324" w:type="dxa"/>
            <w:gridSpan w:val="3"/>
            <w:vAlign w:val="center"/>
          </w:tcPr>
          <w:p>
            <w:pPr>
              <w:spacing w:line="360" w:lineRule="auto"/>
              <w:jc w:val="center"/>
              <w:rPr>
                <w:rFonts w:ascii="仿宋_GB2312" w:hAnsi="仿宋_GB2312" w:eastAsia="仿宋_GB2312" w:cs="仿宋_GB2312"/>
                <w:bCs/>
                <w:sz w:val="24"/>
                <w:szCs w:val="24"/>
              </w:rPr>
            </w:pPr>
          </w:p>
        </w:tc>
        <w:tc>
          <w:tcPr>
            <w:tcW w:w="1549" w:type="dxa"/>
            <w:gridSpan w:val="2"/>
            <w:vMerge w:val="continue"/>
            <w:vAlign w:val="center"/>
          </w:tcPr>
          <w:p>
            <w:pPr>
              <w:spacing w:line="360" w:lineRule="auto"/>
              <w:jc w:val="center"/>
              <w:rPr>
                <w:rFonts w:ascii="仿宋_GB2312" w:hAnsi="仿宋_GB2312" w:eastAsia="仿宋_GB2312" w:cs="仿宋_GB2312"/>
                <w:bCs/>
                <w:sz w:val="24"/>
                <w:szCs w:val="24"/>
              </w:rPr>
            </w:pPr>
          </w:p>
        </w:tc>
        <w:tc>
          <w:tcPr>
            <w:tcW w:w="1550"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中级职称人员</w:t>
            </w:r>
          </w:p>
        </w:tc>
        <w:tc>
          <w:tcPr>
            <w:tcW w:w="1549" w:type="dxa"/>
            <w:gridSpan w:val="3"/>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开户银行</w:t>
            </w:r>
          </w:p>
        </w:tc>
        <w:tc>
          <w:tcPr>
            <w:tcW w:w="2324" w:type="dxa"/>
            <w:gridSpan w:val="3"/>
            <w:vAlign w:val="center"/>
          </w:tcPr>
          <w:p>
            <w:pPr>
              <w:spacing w:line="360" w:lineRule="auto"/>
              <w:jc w:val="center"/>
              <w:rPr>
                <w:rFonts w:ascii="仿宋_GB2312" w:hAnsi="仿宋_GB2312" w:eastAsia="仿宋_GB2312" w:cs="仿宋_GB2312"/>
                <w:bCs/>
                <w:sz w:val="24"/>
                <w:szCs w:val="24"/>
              </w:rPr>
            </w:pPr>
          </w:p>
        </w:tc>
        <w:tc>
          <w:tcPr>
            <w:tcW w:w="1549" w:type="dxa"/>
            <w:gridSpan w:val="2"/>
            <w:vMerge w:val="continue"/>
            <w:vAlign w:val="center"/>
          </w:tcPr>
          <w:p>
            <w:pPr>
              <w:spacing w:line="360" w:lineRule="auto"/>
              <w:jc w:val="center"/>
              <w:rPr>
                <w:rFonts w:ascii="仿宋_GB2312" w:hAnsi="仿宋_GB2312" w:eastAsia="仿宋_GB2312" w:cs="仿宋_GB2312"/>
                <w:bCs/>
                <w:sz w:val="24"/>
                <w:szCs w:val="24"/>
              </w:rPr>
            </w:pPr>
          </w:p>
        </w:tc>
        <w:tc>
          <w:tcPr>
            <w:tcW w:w="1550"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初级职称人员</w:t>
            </w:r>
          </w:p>
        </w:tc>
        <w:tc>
          <w:tcPr>
            <w:tcW w:w="1549" w:type="dxa"/>
            <w:gridSpan w:val="3"/>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账号</w:t>
            </w:r>
          </w:p>
        </w:tc>
        <w:tc>
          <w:tcPr>
            <w:tcW w:w="2324" w:type="dxa"/>
            <w:gridSpan w:val="3"/>
            <w:vAlign w:val="center"/>
          </w:tcPr>
          <w:p>
            <w:pPr>
              <w:spacing w:line="360" w:lineRule="auto"/>
              <w:jc w:val="center"/>
              <w:rPr>
                <w:rFonts w:ascii="仿宋_GB2312" w:hAnsi="仿宋_GB2312" w:eastAsia="仿宋_GB2312" w:cs="仿宋_GB2312"/>
                <w:bCs/>
                <w:sz w:val="24"/>
                <w:szCs w:val="24"/>
              </w:rPr>
            </w:pPr>
          </w:p>
        </w:tc>
        <w:tc>
          <w:tcPr>
            <w:tcW w:w="1549" w:type="dxa"/>
            <w:gridSpan w:val="2"/>
            <w:vMerge w:val="continue"/>
            <w:vAlign w:val="center"/>
          </w:tcPr>
          <w:p>
            <w:pPr>
              <w:spacing w:line="360" w:lineRule="auto"/>
              <w:jc w:val="center"/>
              <w:rPr>
                <w:rFonts w:ascii="仿宋_GB2312" w:hAnsi="仿宋_GB2312" w:eastAsia="仿宋_GB2312" w:cs="仿宋_GB2312"/>
                <w:bCs/>
                <w:sz w:val="24"/>
                <w:szCs w:val="24"/>
              </w:rPr>
            </w:pPr>
          </w:p>
        </w:tc>
        <w:tc>
          <w:tcPr>
            <w:tcW w:w="1550" w:type="dxa"/>
            <w:gridSpan w:val="3"/>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技工</w:t>
            </w:r>
          </w:p>
        </w:tc>
        <w:tc>
          <w:tcPr>
            <w:tcW w:w="1549" w:type="dxa"/>
            <w:gridSpan w:val="3"/>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经营范围</w:t>
            </w:r>
          </w:p>
        </w:tc>
        <w:tc>
          <w:tcPr>
            <w:tcW w:w="6972" w:type="dxa"/>
            <w:gridSpan w:val="11"/>
            <w:vAlign w:val="center"/>
          </w:tcPr>
          <w:p>
            <w:pPr>
              <w:spacing w:line="360" w:lineRule="auto"/>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494" w:type="dxa"/>
            <w:vAlign w:val="center"/>
          </w:tcPr>
          <w:p>
            <w:pPr>
              <w:spacing w:line="360" w:lineRule="auto"/>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c>
          <w:tcPr>
            <w:tcW w:w="6972" w:type="dxa"/>
            <w:gridSpan w:val="11"/>
            <w:vAlign w:val="center"/>
          </w:tcPr>
          <w:p>
            <w:pPr>
              <w:spacing w:line="360" w:lineRule="auto"/>
              <w:jc w:val="center"/>
              <w:rPr>
                <w:rFonts w:ascii="仿宋_GB2312" w:hAnsi="仿宋_GB2312" w:eastAsia="仿宋_GB2312" w:cs="仿宋_GB2312"/>
                <w:bCs/>
                <w:sz w:val="24"/>
                <w:szCs w:val="24"/>
              </w:rPr>
            </w:pPr>
          </w:p>
        </w:tc>
      </w:tr>
    </w:tbl>
    <w:p>
      <w:pPr>
        <w:adjustRightInd w:val="0"/>
        <w:spacing w:line="360" w:lineRule="auto"/>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adjustRightIn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法定代表人或授权代表（签字）：XXX</w:t>
      </w:r>
    </w:p>
    <w:p>
      <w:pPr>
        <w:adjustRightInd w:val="0"/>
        <w:spacing w:line="360" w:lineRule="auto"/>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日  期：</w:t>
      </w:r>
    </w:p>
    <w:p>
      <w:pPr>
        <w:adjustRightInd w:val="0"/>
        <w:spacing w:line="360" w:lineRule="auto"/>
        <w:jc w:val="left"/>
        <w:outlineLvl w:val="1"/>
        <w:rPr>
          <w:rFonts w:ascii="仿宋" w:hAnsi="仿宋" w:eastAsia="仿宋" w:cs="仿宋"/>
          <w:b/>
          <w:sz w:val="30"/>
          <w:szCs w:val="30"/>
        </w:rPr>
      </w:pPr>
      <w:r>
        <w:rPr>
          <w:rFonts w:hint="eastAsia" w:ascii="仿宋" w:hAnsi="仿宋" w:eastAsia="仿宋" w:cs="仿宋"/>
          <w:b/>
          <w:sz w:val="30"/>
          <w:szCs w:val="30"/>
        </w:rPr>
        <w:br w:type="page"/>
      </w:r>
      <w:bookmarkStart w:id="42" w:name="_Toc7274"/>
      <w:r>
        <w:rPr>
          <w:rFonts w:hint="eastAsia" w:ascii="仿宋" w:hAnsi="仿宋" w:eastAsia="仿宋" w:cs="仿宋"/>
          <w:b/>
          <w:sz w:val="30"/>
          <w:szCs w:val="30"/>
        </w:rPr>
        <w:t xml:space="preserve"> 承诺函</w:t>
      </w:r>
      <w:bookmarkEnd w:id="42"/>
    </w:p>
    <w:p>
      <w:pPr>
        <w:spacing w:line="360" w:lineRule="auto"/>
        <w:jc w:val="center"/>
      </w:pPr>
      <w:r>
        <w:rPr>
          <w:rFonts w:hint="eastAsia" w:ascii="仿宋" w:hAnsi="仿宋" w:eastAsia="仿宋" w:cs="仿宋"/>
          <w:b/>
          <w:bCs/>
          <w:sz w:val="28"/>
          <w:szCs w:val="36"/>
        </w:rPr>
        <w:t>承诺函</w:t>
      </w:r>
    </w:p>
    <w:p>
      <w:pPr>
        <w:spacing w:line="288" w:lineRule="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u w:val="single"/>
        </w:rPr>
        <w:t>绵阳市中医医院：</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我公司作为本次采购项目的供应商，根据磋商文件要求，现郑重承诺如下：</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一、具备《中华人民共和国政府采购法》第二十二条第一款和本项目规定的条件：</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（一）具有独立承担民事责任的能力；</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（二）具有良好的商业信誉和健全的财务会计制度；</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（三）具有履行合同所必需的设备和专业技术能力；</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（四）有依法缴纳税收和社会保障资金的良好记录；</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（五）参加政府采购活动前三年内，在经营活动中没有重大违法记录；</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（六）法律、行政法规规定的其他条件；</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（七）根据采购项目提出的特殊条件。</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二、如对磋商文件有异议，已经在递交响应文件截止时间届满前依法进行维权救济，不存在对磋商文件有异议的同时又参加磋商以求侥幸成交或者为实现其他非法目的的行为。</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三、在参加本次采购活动中，不存在与单位负责人为同一人或者存在直接控股、管理关系的其他供应商参与同一合同项下的政府采购活动的行为。</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四、在参加本次采购活动中，不存在和其他供应商在同一合同项下的采购项目中，同时委托同一个自然人、同一家庭的人员、同一单位的人员作为代理人的行为。</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五、如果有《四川省政府采购当事人诚信管理办法》（川财采[2015]33号）规定的记入诚信档案的失信行为，将在响应文件中全面如实反映。</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六、响应文件中提供的任何资料和技术、服务、商务等响应承诺情况都是真实的、有效的、合法的。</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七、如本项目磋商采购过程中需要提供样品，则我公司提供的样品即为成交后将要提供的成交产品，我公司对提供样品的性能和质量负责，因样品存在缺陷或者不符合磋商文件要求导致未能成交的，我公司愿意承担相应不利后果。</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八、我公司完全同意磋商采购文件中关于知识产权的说明，承诺由此造成的纠纷由我单位全权负责。</w:t>
      </w:r>
    </w:p>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本公司对上述承诺的内容事项真实性负责。如经查实上述承诺的内容事项存在虚假，我公司愿意接受以提供虚假材料谋取成交的法律责任。</w:t>
      </w:r>
    </w:p>
    <w:p>
      <w:pPr>
        <w:adjustRightIn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bCs/>
          <w:sz w:val="24"/>
          <w:szCs w:val="24"/>
        </w:rPr>
        <w:t>法定代表人或授权代表（签字）</w:t>
      </w:r>
      <w:r>
        <w:rPr>
          <w:rFonts w:hint="eastAsia" w:ascii="仿宋_GB2312" w:hAnsi="仿宋_GB2312" w:eastAsia="仿宋_GB2312" w:cs="仿宋_GB2312"/>
          <w:sz w:val="24"/>
          <w:szCs w:val="24"/>
        </w:rPr>
        <w:t>：XXXX</w:t>
      </w:r>
    </w:p>
    <w:p>
      <w:pPr>
        <w:spacing w:line="360" w:lineRule="auto"/>
        <w:ind w:firstLine="480" w:firstLineChars="200"/>
        <w:rPr>
          <w:rFonts w:ascii="仿宋_GB2312" w:hAnsi="仿宋_GB2312" w:eastAsia="仿宋_GB2312" w:cs="仿宋_GB2312"/>
          <w:bCs/>
          <w:sz w:val="24"/>
          <w:szCs w:val="24"/>
        </w:rPr>
      </w:pPr>
      <w:r>
        <w:rPr>
          <w:rFonts w:hint="eastAsia" w:ascii="仿宋_GB2312" w:hAnsi="仿宋_GB2312" w:eastAsia="仿宋_GB2312" w:cs="仿宋_GB2312"/>
          <w:sz w:val="24"/>
          <w:szCs w:val="24"/>
        </w:rPr>
        <w:t>日    期：</w:t>
      </w:r>
    </w:p>
    <w:p>
      <w:pPr>
        <w:spacing w:line="360" w:lineRule="auto"/>
        <w:jc w:val="left"/>
        <w:outlineLvl w:val="1"/>
        <w:rPr>
          <w:rFonts w:ascii="仿宋" w:hAnsi="仿宋" w:eastAsia="仿宋" w:cs="仿宋"/>
          <w:b/>
          <w:sz w:val="30"/>
          <w:szCs w:val="30"/>
        </w:rPr>
      </w:pPr>
      <w:r>
        <w:rPr>
          <w:rFonts w:hint="eastAsia" w:ascii="仿宋_GB2312" w:hAnsi="仿宋_GB2312" w:eastAsia="仿宋_GB2312" w:cs="仿宋_GB2312"/>
          <w:b/>
          <w:sz w:val="30"/>
          <w:szCs w:val="30"/>
        </w:rPr>
        <w:br w:type="page"/>
      </w:r>
      <w:bookmarkStart w:id="43" w:name="_Toc2798"/>
      <w:r>
        <w:rPr>
          <w:rFonts w:hint="eastAsia" w:ascii="仿宋" w:hAnsi="仿宋" w:eastAsia="仿宋" w:cs="仿宋"/>
          <w:b/>
          <w:sz w:val="30"/>
          <w:szCs w:val="30"/>
        </w:rPr>
        <w:t xml:space="preserve"> 响应函</w:t>
      </w:r>
      <w:bookmarkEnd w:id="43"/>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响应函</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绵阳市中医医院：</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1.我方全面研究了“</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”项目磋商文件（项目编号：</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），决定参加贵单位组织的本项目磋商采购。</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2.我方自愿按照磋商文件规定的各项要求向采购人提供所需服务。</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3.一旦我方成交，我方将严格履行政府采购合同规定的责任和义务。</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kern w:val="0"/>
          <w:sz w:val="24"/>
          <w:szCs w:val="24"/>
        </w:rPr>
        <w:t>我方同意按照采购文件的要求，缴纳人民币</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元（大写</w:t>
      </w:r>
      <w:r>
        <w:rPr>
          <w:rFonts w:hint="eastAsia" w:ascii="仿宋_GB2312" w:hAnsi="仿宋_GB2312" w:eastAsia="仿宋_GB2312" w:cs="仿宋_GB2312"/>
          <w:kern w:val="0"/>
          <w:sz w:val="24"/>
          <w:szCs w:val="24"/>
          <w:u w:val="single"/>
        </w:rPr>
        <w:t xml:space="preserve">     </w:t>
      </w:r>
      <w:r>
        <w:rPr>
          <w:rFonts w:hint="eastAsia" w:ascii="仿宋_GB2312" w:hAnsi="仿宋_GB2312" w:eastAsia="仿宋_GB2312" w:cs="仿宋_GB2312"/>
          <w:kern w:val="0"/>
          <w:sz w:val="24"/>
          <w:szCs w:val="24"/>
        </w:rPr>
        <w:t>元）的磋商保证金。</w:t>
      </w:r>
      <w:r>
        <w:rPr>
          <w:rFonts w:hint="eastAsia" w:ascii="仿宋_GB2312" w:hAnsi="仿宋_GB2312" w:eastAsia="仿宋_GB2312" w:cs="仿宋_GB2312"/>
          <w:sz w:val="24"/>
          <w:szCs w:val="24"/>
        </w:rPr>
        <w:t>我方同意本磋商文件依据《四川省政府采购当事人诚信管理办法》（川财采〔2015〕33号文件）对我方可能存在的失信行为进行惩戒，</w:t>
      </w:r>
      <w:r>
        <w:rPr>
          <w:rFonts w:hint="eastAsia" w:ascii="仿宋_GB2312" w:hAnsi="仿宋_GB2312" w:eastAsia="仿宋_GB2312" w:cs="仿宋_GB2312"/>
          <w:kern w:val="0"/>
          <w:sz w:val="24"/>
          <w:szCs w:val="24"/>
        </w:rPr>
        <w:t>并且承诺下列任何情况发生时，我方将不要求退还磋商保证金</w:t>
      </w:r>
      <w:r>
        <w:rPr>
          <w:rFonts w:hint="eastAsia" w:ascii="仿宋_GB2312" w:hAnsi="仿宋_GB2312" w:eastAsia="仿宋_GB2312" w:cs="仿宋_GB2312"/>
          <w:sz w:val="24"/>
          <w:szCs w:val="24"/>
        </w:rPr>
        <w:t>。</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如果我方在响应有效期内撤回响应；我方在响应有效期内收到成交通知书后，自愿放弃成交；我方在响应有效期内收到成交通知书后，由于我方原因未能按照采购文件要求与采购人签订合同；由于我方原因未能按照采购文件的规定交纳履约保证金；我方在响应文件中提供虚假材料的；供应商与采购人、其他供应商恶意串通的；我方在采购活动中还有其他任何违法、违纪、违规行为的。</w:t>
      </w:r>
    </w:p>
    <w:p>
      <w:pPr>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5.我方为本项目提交的响应文件正本1份，副本</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份，</w:t>
      </w:r>
      <w:r>
        <w:rPr>
          <w:rFonts w:hint="eastAsia" w:ascii="仿宋_GB2312" w:hAnsi="仿宋_GB2312" w:eastAsia="仿宋_GB2312" w:cs="仿宋_GB2312"/>
          <w:kern w:val="0"/>
          <w:sz w:val="24"/>
          <w:szCs w:val="24"/>
        </w:rPr>
        <w:t>“报价一览表”一份</w:t>
      </w:r>
      <w:r>
        <w:rPr>
          <w:rFonts w:hint="eastAsia" w:ascii="仿宋_GB2312" w:hAnsi="仿宋_GB2312" w:eastAsia="仿宋_GB2312" w:cs="仿宋_GB2312"/>
          <w:sz w:val="24"/>
          <w:szCs w:val="24"/>
        </w:rPr>
        <w:t>用于磋商报价。</w:t>
      </w:r>
    </w:p>
    <w:p>
      <w:pPr>
        <w:spacing w:line="360" w:lineRule="auto"/>
        <w:ind w:left="718" w:leftChars="228" w:hanging="240" w:hanging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6.本次磋商，我方递交的响应文件有效期为递交磋商响应文件截止之日起</w:t>
      </w:r>
      <w:r>
        <w:rPr>
          <w:rFonts w:hint="eastAsia" w:ascii="仿宋_GB2312" w:hAnsi="仿宋_GB2312" w:eastAsia="仿宋_GB2312" w:cs="仿宋_GB2312"/>
          <w:sz w:val="24"/>
          <w:szCs w:val="24"/>
          <w:u w:val="single"/>
        </w:rPr>
        <w:t>XX</w:t>
      </w:r>
      <w:r>
        <w:rPr>
          <w:rFonts w:hint="eastAsia" w:ascii="仿宋_GB2312" w:hAnsi="仿宋_GB2312" w:eastAsia="仿宋_GB2312" w:cs="仿宋_GB2312"/>
          <w:sz w:val="24"/>
          <w:szCs w:val="24"/>
        </w:rPr>
        <w:t>天。</w:t>
      </w:r>
    </w:p>
    <w:p>
      <w:pPr>
        <w:pStyle w:val="139"/>
        <w:spacing w:before="46" w:after="46"/>
        <w:ind w:firstLine="480"/>
        <w:rPr>
          <w:rFonts w:ascii="仿宋_GB2312" w:hAnsi="仿宋_GB2312" w:cs="仿宋_GB2312"/>
          <w:sz w:val="24"/>
        </w:rPr>
      </w:pPr>
      <w:r>
        <w:rPr>
          <w:rFonts w:hint="eastAsia" w:ascii="仿宋_GB2312" w:hAnsi="仿宋_GB2312" w:cs="仿宋_GB2312"/>
          <w:sz w:val="24"/>
        </w:rPr>
        <w:t>7、我方愿意提供贵单位可能另外要求的，与采购有关的文件资料，并保证我方已提供和将要提供的文件资料是真实、准确的并对其真实性、合法性承担一切法律责任。</w:t>
      </w:r>
    </w:p>
    <w:p>
      <w:pPr>
        <w:pStyle w:val="139"/>
        <w:spacing w:before="46" w:after="46"/>
        <w:ind w:firstLine="480"/>
        <w:rPr>
          <w:rFonts w:ascii="仿宋_GB2312" w:hAnsi="仿宋_GB2312" w:cs="仿宋_GB2312"/>
          <w:sz w:val="24"/>
        </w:rPr>
      </w:pPr>
      <w:r>
        <w:rPr>
          <w:rFonts w:hint="eastAsia" w:ascii="仿宋_GB2312" w:hAnsi="仿宋_GB2312" w:cs="仿宋_GB2312"/>
          <w:sz w:val="24"/>
        </w:rPr>
        <w:t>我方完全同意按照采购文件的相关规定，支付代理服务费。</w:t>
      </w:r>
    </w:p>
    <w:p>
      <w:pPr>
        <w:adjustRightIn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spacing w:line="360" w:lineRule="auto"/>
        <w:ind w:firstLine="470" w:firstLineChars="196"/>
        <w:rPr>
          <w:rFonts w:ascii="仿宋_GB2312" w:hAnsi="仿宋_GB2312" w:eastAsia="仿宋_GB2312" w:cs="仿宋_GB2312"/>
          <w:sz w:val="24"/>
          <w:szCs w:val="24"/>
        </w:rPr>
      </w:pPr>
      <w:r>
        <w:rPr>
          <w:rFonts w:hint="eastAsia" w:ascii="仿宋_GB2312" w:hAnsi="仿宋_GB2312" w:eastAsia="仿宋_GB2312" w:cs="仿宋_GB2312"/>
          <w:bCs/>
          <w:sz w:val="24"/>
          <w:szCs w:val="24"/>
        </w:rPr>
        <w:t>法定代表人或授权代表（签字）</w:t>
      </w:r>
      <w:r>
        <w:rPr>
          <w:rFonts w:hint="eastAsia" w:ascii="仿宋_GB2312" w:hAnsi="仿宋_GB2312" w:eastAsia="仿宋_GB2312" w:cs="仿宋_GB2312"/>
          <w:sz w:val="24"/>
          <w:szCs w:val="24"/>
        </w:rPr>
        <w:t>：XXX</w:t>
      </w:r>
    </w:p>
    <w:p>
      <w:pPr>
        <w:spacing w:line="360" w:lineRule="auto"/>
        <w:ind w:firstLine="470"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通讯地址：XXX</w:t>
      </w:r>
    </w:p>
    <w:p>
      <w:pPr>
        <w:spacing w:line="360" w:lineRule="auto"/>
        <w:ind w:firstLine="470" w:firstLineChars="196"/>
        <w:rPr>
          <w:rFonts w:ascii="仿宋_GB2312" w:hAnsi="仿宋_GB2312" w:eastAsia="仿宋_GB2312" w:cs="仿宋_GB2312"/>
          <w:sz w:val="24"/>
          <w:szCs w:val="24"/>
        </w:rPr>
      </w:pPr>
      <w:r>
        <w:rPr>
          <w:rFonts w:hint="eastAsia" w:ascii="仿宋_GB2312" w:hAnsi="仿宋_GB2312" w:eastAsia="仿宋_GB2312" w:cs="仿宋_GB2312"/>
          <w:sz w:val="24"/>
          <w:szCs w:val="24"/>
        </w:rPr>
        <w:t>日    期：</w:t>
      </w:r>
    </w:p>
    <w:p>
      <w:pPr>
        <w:spacing w:line="360" w:lineRule="auto"/>
        <w:jc w:val="center"/>
        <w:rPr>
          <w:rFonts w:ascii="仿宋_GB2312" w:hAnsi="仿宋_GB2312" w:eastAsia="仿宋_GB2312" w:cs="仿宋_GB2312"/>
          <w:sz w:val="24"/>
          <w:szCs w:val="24"/>
        </w:rPr>
      </w:pPr>
    </w:p>
    <w:p>
      <w:pPr>
        <w:spacing w:line="360" w:lineRule="auto"/>
        <w:jc w:val="center"/>
        <w:rPr>
          <w:rFonts w:ascii="仿宋" w:hAnsi="仿宋" w:eastAsia="仿宋" w:cs="仿宋"/>
          <w:b/>
          <w:sz w:val="24"/>
          <w:szCs w:val="24"/>
        </w:rPr>
      </w:pPr>
    </w:p>
    <w:p>
      <w:pPr>
        <w:spacing w:line="360" w:lineRule="auto"/>
        <w:rPr>
          <w:rFonts w:ascii="仿宋" w:hAnsi="仿宋" w:eastAsia="仿宋" w:cs="仿宋"/>
          <w:sz w:val="24"/>
          <w:szCs w:val="24"/>
        </w:rPr>
        <w:sectPr>
          <w:footerReference r:id="rId5" w:type="first"/>
          <w:headerReference r:id="rId3" w:type="default"/>
          <w:footerReference r:id="rId4" w:type="default"/>
          <w:type w:val="continuous"/>
          <w:pgSz w:w="11850" w:h="16783"/>
          <w:pgMar w:top="1417" w:right="1134" w:bottom="1417" w:left="1134" w:header="851" w:footer="992" w:gutter="0"/>
          <w:pgNumType w:start="1"/>
          <w:cols w:space="720" w:num="1"/>
          <w:titlePg/>
          <w:docGrid w:type="linesAndChars" w:linePitch="312" w:charSpace="0"/>
        </w:sectPr>
      </w:pPr>
    </w:p>
    <w:p>
      <w:pPr>
        <w:spacing w:line="360" w:lineRule="auto"/>
        <w:jc w:val="left"/>
        <w:outlineLvl w:val="1"/>
        <w:rPr>
          <w:rFonts w:ascii="仿宋" w:hAnsi="仿宋" w:eastAsia="仿宋" w:cs="仿宋"/>
          <w:b/>
          <w:sz w:val="30"/>
          <w:szCs w:val="30"/>
        </w:rPr>
      </w:pPr>
      <w:bookmarkStart w:id="44" w:name="_Toc16149"/>
      <w:r>
        <w:rPr>
          <w:rFonts w:hint="eastAsia" w:ascii="仿宋" w:hAnsi="仿宋" w:eastAsia="仿宋" w:cs="仿宋"/>
          <w:b/>
          <w:sz w:val="30"/>
          <w:szCs w:val="30"/>
        </w:rPr>
        <w:t>报价一览表</w:t>
      </w:r>
      <w:bookmarkEnd w:id="44"/>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报价一览表</w:t>
      </w:r>
    </w:p>
    <w:p>
      <w:pPr>
        <w:pStyle w:val="8"/>
        <w:tabs>
          <w:tab w:val="left" w:pos="7020"/>
        </w:tabs>
        <w:spacing w:line="360" w:lineRule="auto"/>
        <w:ind w:firstLine="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w:t>
      </w:r>
      <w:r>
        <w:rPr>
          <w:rFonts w:hint="eastAsia" w:ascii="仿宋_GB2312" w:hAnsi="仿宋_GB2312" w:eastAsia="仿宋_GB2312" w:cs="仿宋_GB2312"/>
          <w:sz w:val="24"/>
          <w:szCs w:val="24"/>
        </w:rPr>
        <w:tab/>
      </w:r>
    </w:p>
    <w:p>
      <w:pPr>
        <w:pStyle w:val="8"/>
        <w:tabs>
          <w:tab w:val="left" w:pos="7560"/>
        </w:tabs>
        <w:spacing w:line="360" w:lineRule="auto"/>
        <w:ind w:firstLine="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项目编号：</w:t>
      </w:r>
      <w:r>
        <w:rPr>
          <w:rFonts w:hint="eastAsia" w:ascii="仿宋_GB2312" w:hAnsi="仿宋_GB2312" w:eastAsia="仿宋_GB2312" w:cs="仿宋_GB2312"/>
          <w:sz w:val="24"/>
          <w:szCs w:val="24"/>
        </w:rPr>
        <w:t xml:space="preserve">                                    </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960"/>
        <w:gridCol w:w="1560"/>
        <w:gridCol w:w="1558"/>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879"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39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服务名称</w:t>
            </w:r>
          </w:p>
        </w:tc>
        <w:tc>
          <w:tcPr>
            <w:tcW w:w="1560"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单价</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（元）</w:t>
            </w:r>
          </w:p>
        </w:tc>
        <w:tc>
          <w:tcPr>
            <w:tcW w:w="1558" w:type="dxa"/>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总价</w:t>
            </w:r>
          </w:p>
          <w:p>
            <w:pPr>
              <w:jc w:val="center"/>
            </w:pPr>
            <w:r>
              <w:rPr>
                <w:rFonts w:hint="eastAsia" w:ascii="仿宋_GB2312" w:hAnsi="仿宋_GB2312" w:eastAsia="仿宋_GB2312" w:cs="仿宋_GB2312"/>
                <w:sz w:val="24"/>
                <w:szCs w:val="24"/>
              </w:rPr>
              <w:t>（元）</w:t>
            </w:r>
          </w:p>
        </w:tc>
        <w:tc>
          <w:tcPr>
            <w:tcW w:w="1558" w:type="dxa"/>
            <w:vAlign w:val="center"/>
          </w:tcPr>
          <w:p>
            <w:pPr>
              <w:ind w:left="355" w:hanging="355" w:hangingChars="148"/>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79" w:type="dxa"/>
          </w:tcPr>
          <w:p>
            <w:pPr>
              <w:spacing w:line="360" w:lineRule="auto"/>
              <w:rPr>
                <w:rFonts w:ascii="仿宋_GB2312" w:hAnsi="仿宋_GB2312" w:eastAsia="仿宋_GB2312" w:cs="仿宋_GB2312"/>
                <w:sz w:val="24"/>
                <w:szCs w:val="24"/>
              </w:rPr>
            </w:pPr>
          </w:p>
        </w:tc>
        <w:tc>
          <w:tcPr>
            <w:tcW w:w="3960" w:type="dxa"/>
          </w:tcPr>
          <w:p>
            <w:pPr>
              <w:spacing w:line="360" w:lineRule="auto"/>
              <w:rPr>
                <w:rFonts w:ascii="仿宋_GB2312" w:hAnsi="仿宋_GB2312" w:eastAsia="仿宋_GB2312" w:cs="仿宋_GB2312"/>
                <w:sz w:val="24"/>
                <w:szCs w:val="24"/>
              </w:rPr>
            </w:pPr>
          </w:p>
        </w:tc>
        <w:tc>
          <w:tcPr>
            <w:tcW w:w="1560" w:type="dxa"/>
          </w:tcPr>
          <w:p>
            <w:pPr>
              <w:spacing w:line="360" w:lineRule="auto"/>
              <w:rPr>
                <w:rFonts w:ascii="仿宋_GB2312" w:hAnsi="仿宋_GB2312" w:eastAsia="仿宋_GB2312" w:cs="仿宋_GB2312"/>
                <w:sz w:val="24"/>
                <w:szCs w:val="24"/>
              </w:rPr>
            </w:pPr>
          </w:p>
        </w:tc>
        <w:tc>
          <w:tcPr>
            <w:tcW w:w="1558" w:type="dxa"/>
          </w:tcPr>
          <w:p>
            <w:pPr>
              <w:spacing w:line="360" w:lineRule="auto"/>
              <w:rPr>
                <w:rFonts w:ascii="仿宋_GB2312" w:hAnsi="仿宋_GB2312" w:eastAsia="仿宋_GB2312" w:cs="仿宋_GB2312"/>
                <w:sz w:val="24"/>
                <w:szCs w:val="24"/>
              </w:rPr>
            </w:pPr>
          </w:p>
        </w:tc>
        <w:tc>
          <w:tcPr>
            <w:tcW w:w="1558"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79" w:type="dxa"/>
          </w:tcPr>
          <w:p>
            <w:pPr>
              <w:spacing w:line="360" w:lineRule="auto"/>
              <w:rPr>
                <w:rFonts w:ascii="仿宋_GB2312" w:hAnsi="仿宋_GB2312" w:eastAsia="仿宋_GB2312" w:cs="仿宋_GB2312"/>
                <w:sz w:val="24"/>
                <w:szCs w:val="24"/>
              </w:rPr>
            </w:pPr>
          </w:p>
        </w:tc>
        <w:tc>
          <w:tcPr>
            <w:tcW w:w="3960" w:type="dxa"/>
          </w:tcPr>
          <w:p>
            <w:pPr>
              <w:spacing w:line="360" w:lineRule="auto"/>
              <w:rPr>
                <w:rFonts w:ascii="仿宋_GB2312" w:hAnsi="仿宋_GB2312" w:eastAsia="仿宋_GB2312" w:cs="仿宋_GB2312"/>
                <w:sz w:val="24"/>
                <w:szCs w:val="24"/>
              </w:rPr>
            </w:pPr>
          </w:p>
        </w:tc>
        <w:tc>
          <w:tcPr>
            <w:tcW w:w="1560" w:type="dxa"/>
          </w:tcPr>
          <w:p>
            <w:pPr>
              <w:spacing w:line="360" w:lineRule="auto"/>
              <w:rPr>
                <w:rFonts w:ascii="仿宋_GB2312" w:hAnsi="仿宋_GB2312" w:eastAsia="仿宋_GB2312" w:cs="仿宋_GB2312"/>
                <w:sz w:val="24"/>
                <w:szCs w:val="24"/>
              </w:rPr>
            </w:pPr>
          </w:p>
        </w:tc>
        <w:tc>
          <w:tcPr>
            <w:tcW w:w="1558" w:type="dxa"/>
          </w:tcPr>
          <w:p>
            <w:pPr>
              <w:spacing w:line="360" w:lineRule="auto"/>
              <w:rPr>
                <w:rFonts w:ascii="仿宋_GB2312" w:hAnsi="仿宋_GB2312" w:eastAsia="仿宋_GB2312" w:cs="仿宋_GB2312"/>
                <w:sz w:val="24"/>
                <w:szCs w:val="24"/>
              </w:rPr>
            </w:pPr>
          </w:p>
        </w:tc>
        <w:tc>
          <w:tcPr>
            <w:tcW w:w="1558"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79" w:type="dxa"/>
          </w:tcPr>
          <w:p>
            <w:pPr>
              <w:spacing w:line="360" w:lineRule="auto"/>
              <w:rPr>
                <w:rFonts w:ascii="仿宋_GB2312" w:hAnsi="仿宋_GB2312" w:eastAsia="仿宋_GB2312" w:cs="仿宋_GB2312"/>
                <w:sz w:val="24"/>
                <w:szCs w:val="24"/>
              </w:rPr>
            </w:pPr>
          </w:p>
        </w:tc>
        <w:tc>
          <w:tcPr>
            <w:tcW w:w="3960" w:type="dxa"/>
          </w:tcPr>
          <w:p>
            <w:pPr>
              <w:spacing w:line="360" w:lineRule="auto"/>
              <w:rPr>
                <w:rFonts w:ascii="仿宋_GB2312" w:hAnsi="仿宋_GB2312" w:eastAsia="仿宋_GB2312" w:cs="仿宋_GB2312"/>
                <w:sz w:val="24"/>
                <w:szCs w:val="24"/>
              </w:rPr>
            </w:pPr>
          </w:p>
        </w:tc>
        <w:tc>
          <w:tcPr>
            <w:tcW w:w="1560" w:type="dxa"/>
          </w:tcPr>
          <w:p>
            <w:pPr>
              <w:spacing w:line="360" w:lineRule="auto"/>
              <w:rPr>
                <w:rFonts w:ascii="仿宋_GB2312" w:hAnsi="仿宋_GB2312" w:eastAsia="仿宋_GB2312" w:cs="仿宋_GB2312"/>
                <w:sz w:val="24"/>
                <w:szCs w:val="24"/>
              </w:rPr>
            </w:pPr>
          </w:p>
        </w:tc>
        <w:tc>
          <w:tcPr>
            <w:tcW w:w="1558" w:type="dxa"/>
          </w:tcPr>
          <w:p>
            <w:pPr>
              <w:spacing w:line="360" w:lineRule="auto"/>
              <w:rPr>
                <w:rFonts w:ascii="仿宋_GB2312" w:hAnsi="仿宋_GB2312" w:eastAsia="仿宋_GB2312" w:cs="仿宋_GB2312"/>
                <w:sz w:val="24"/>
                <w:szCs w:val="24"/>
              </w:rPr>
            </w:pPr>
          </w:p>
        </w:tc>
        <w:tc>
          <w:tcPr>
            <w:tcW w:w="1558"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515" w:type="dxa"/>
            <w:gridSpan w:val="5"/>
            <w:vAlign w:val="bottom"/>
          </w:tcPr>
          <w:p>
            <w:pPr>
              <w:spacing w:line="360" w:lineRule="auto"/>
              <w:rPr>
                <w:rFonts w:ascii="仿宋_GB2312" w:hAnsi="仿宋_GB2312" w:eastAsia="仿宋_GB2312" w:cs="仿宋_GB2312"/>
                <w:sz w:val="24"/>
                <w:szCs w:val="24"/>
                <w:u w:val="single"/>
              </w:rPr>
            </w:pPr>
            <w:r>
              <w:rPr>
                <w:rFonts w:hint="eastAsia" w:ascii="仿宋_GB2312" w:hAnsi="仿宋_GB2312" w:eastAsia="仿宋_GB2312" w:cs="仿宋_GB2312"/>
                <w:sz w:val="24"/>
                <w:szCs w:val="24"/>
              </w:rPr>
              <w:t>合计金额：第一轮报价</w:t>
            </w:r>
            <w:r>
              <w:rPr>
                <w:rFonts w:hint="eastAsia" w:ascii="仿宋_GB2312" w:hAnsi="仿宋_GB2312" w:eastAsia="仿宋_GB2312" w:cs="仿宋_GB2312"/>
                <w:sz w:val="24"/>
                <w:szCs w:val="24"/>
                <w:u w:val="single"/>
              </w:rPr>
              <w:t xml:space="preserve">                  元（大写：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515" w:type="dxa"/>
            <w:gridSpan w:val="5"/>
            <w:vAlign w:val="bottom"/>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9515" w:type="dxa"/>
            <w:gridSpan w:val="5"/>
            <w:vAlign w:val="bottom"/>
          </w:tcPr>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合计金额：最终报价</w:t>
            </w:r>
            <w:r>
              <w:rPr>
                <w:rFonts w:hint="eastAsia" w:ascii="仿宋_GB2312" w:hAnsi="仿宋_GB2312" w:eastAsia="仿宋_GB2312" w:cs="仿宋_GB2312"/>
                <w:sz w:val="24"/>
                <w:szCs w:val="24"/>
                <w:u w:val="single"/>
              </w:rPr>
              <w:t xml:space="preserve">                     元（大写：               ）</w:t>
            </w:r>
          </w:p>
        </w:tc>
      </w:tr>
    </w:tbl>
    <w:p>
      <w:pPr>
        <w:spacing w:line="288"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注: 1.所有报价均用人民币表示,所报价格是交货地的验收价格，其总价即为履行合同的固定价格，采购文件规定的其他费用均应包含在报价中。</w:t>
      </w:r>
    </w:p>
    <w:p>
      <w:pPr>
        <w:numPr>
          <w:ilvl w:val="0"/>
          <w:numId w:val="4"/>
        </w:numPr>
        <w:tabs>
          <w:tab w:val="clear" w:pos="312"/>
        </w:tabs>
        <w:spacing w:line="288" w:lineRule="auto"/>
        <w:ind w:firstLine="960" w:firstLineChars="400"/>
        <w:rPr>
          <w:rFonts w:ascii="仿宋_GB2312" w:hAnsi="仿宋_GB2312" w:eastAsia="仿宋_GB2312" w:cs="仿宋_GB2312"/>
          <w:sz w:val="24"/>
          <w:szCs w:val="24"/>
        </w:rPr>
      </w:pPr>
      <w:r>
        <w:rPr>
          <w:rFonts w:hint="eastAsia" w:ascii="仿宋_GB2312" w:hAnsi="仿宋_GB2312" w:eastAsia="仿宋_GB2312" w:cs="仿宋_GB2312"/>
          <w:sz w:val="24"/>
          <w:szCs w:val="24"/>
        </w:rPr>
        <w:t>本表内任何有选择或可调整的报价将按无效响应处理,最终报价按四舍五入法保留到个位数。报价一览表内填写的最终报价将作为本次采购唯一的最终报价依据。</w:t>
      </w:r>
    </w:p>
    <w:p>
      <w:pPr>
        <w:numPr>
          <w:ilvl w:val="0"/>
          <w:numId w:val="4"/>
        </w:numPr>
        <w:tabs>
          <w:tab w:val="clear" w:pos="312"/>
        </w:tabs>
        <w:spacing w:line="288" w:lineRule="auto"/>
        <w:ind w:firstLine="961" w:firstLineChars="400"/>
        <w:rPr>
          <w:rFonts w:ascii="仿宋_GB2312" w:hAnsi="仿宋_GB2312" w:eastAsia="仿宋_GB2312" w:cs="仿宋_GB2312"/>
          <w:sz w:val="24"/>
          <w:szCs w:val="24"/>
        </w:rPr>
      </w:pPr>
      <w:r>
        <w:rPr>
          <w:rFonts w:hint="eastAsia" w:ascii="仿宋_GB2312" w:hAnsi="仿宋_GB2312" w:eastAsia="仿宋_GB2312" w:cs="仿宋_GB2312"/>
          <w:b/>
          <w:bCs/>
          <w:sz w:val="24"/>
          <w:szCs w:val="24"/>
        </w:rPr>
        <w:t>报价一览表用于现场密封提交</w:t>
      </w:r>
      <w:r>
        <w:rPr>
          <w:rFonts w:hint="eastAsia" w:ascii="仿宋_GB2312" w:hAnsi="仿宋_GB2312" w:eastAsia="仿宋_GB2312" w:cs="仿宋_GB2312"/>
          <w:sz w:val="24"/>
          <w:szCs w:val="24"/>
        </w:rPr>
        <w:t xml:space="preserve">；供应商只能填写合计金额第一轮报价(《报价一览表》中“总价（元）”的合计金额)，须将合计金额最终报价处留白，以备采购现场最终报价时现场填写。 </w:t>
      </w:r>
    </w:p>
    <w:p>
      <w:pPr>
        <w:numPr>
          <w:ilvl w:val="0"/>
          <w:numId w:val="4"/>
        </w:numPr>
        <w:tabs>
          <w:tab w:val="clear" w:pos="312"/>
        </w:tabs>
        <w:spacing w:line="288" w:lineRule="auto"/>
        <w:ind w:firstLine="960" w:firstLineChars="400"/>
        <w:rPr>
          <w:rFonts w:ascii="仿宋_GB2312" w:hAnsi="仿宋_GB2312" w:eastAsia="仿宋_GB2312" w:cs="仿宋_GB2312"/>
          <w:b/>
          <w:bCs/>
          <w:sz w:val="24"/>
          <w:szCs w:val="24"/>
        </w:rPr>
      </w:pPr>
      <w:r>
        <w:rPr>
          <w:rFonts w:hint="eastAsia" w:ascii="仿宋_GB2312" w:hAnsi="仿宋_GB2312" w:eastAsia="仿宋_GB2312" w:cs="仿宋_GB2312"/>
          <w:sz w:val="24"/>
          <w:szCs w:val="24"/>
        </w:rPr>
        <w:t>《报价一览表》中“单价（元）”和“总价（元）”按（合计金额第一轮报价-合计金额最终报价）/合计金额第一轮报价,同比下浮。</w:t>
      </w:r>
      <w:r>
        <w:rPr>
          <w:rFonts w:hint="eastAsia" w:ascii="仿宋_GB2312" w:hAnsi="仿宋_GB2312" w:eastAsia="仿宋_GB2312" w:cs="仿宋_GB2312"/>
          <w:b/>
          <w:bCs/>
          <w:sz w:val="24"/>
          <w:szCs w:val="24"/>
        </w:rPr>
        <w:t>（实质性要求）</w:t>
      </w:r>
    </w:p>
    <w:p>
      <w:pPr>
        <w:adjustRightInd w:val="0"/>
        <w:spacing w:line="360" w:lineRule="auto"/>
        <w:ind w:firstLine="720" w:firstLineChars="3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spacing w:line="360" w:lineRule="auto"/>
        <w:ind w:firstLine="616" w:firstLineChars="257"/>
        <w:rPr>
          <w:rFonts w:ascii="仿宋_GB2312" w:hAnsi="仿宋_GB2312" w:eastAsia="仿宋_GB2312" w:cs="仿宋_GB2312"/>
          <w:sz w:val="24"/>
          <w:szCs w:val="24"/>
        </w:rPr>
      </w:pPr>
      <w:r>
        <w:rPr>
          <w:rFonts w:hint="eastAsia" w:ascii="仿宋_GB2312" w:hAnsi="仿宋_GB2312" w:eastAsia="仿宋_GB2312" w:cs="仿宋_GB2312"/>
          <w:bCs/>
          <w:sz w:val="24"/>
          <w:szCs w:val="24"/>
        </w:rPr>
        <w:t>法定代表人或授权代表（签字）</w:t>
      </w:r>
      <w:r>
        <w:rPr>
          <w:rFonts w:hint="eastAsia" w:ascii="仿宋_GB2312" w:hAnsi="仿宋_GB2312" w:eastAsia="仿宋_GB2312" w:cs="仿宋_GB2312"/>
          <w:sz w:val="24"/>
          <w:szCs w:val="24"/>
        </w:rPr>
        <w:t>：XXX</w:t>
      </w:r>
    </w:p>
    <w:p>
      <w:pPr>
        <w:spacing w:line="360" w:lineRule="auto"/>
        <w:ind w:firstLine="616" w:firstLineChars="257"/>
        <w:rPr>
          <w:rFonts w:ascii="仿宋_GB2312" w:hAnsi="仿宋_GB2312" w:eastAsia="仿宋_GB2312" w:cs="仿宋_GB2312"/>
          <w:sz w:val="24"/>
          <w:szCs w:val="24"/>
        </w:rPr>
        <w:sectPr>
          <w:footerReference r:id="rId6" w:type="default"/>
          <w:pgSz w:w="11850" w:h="16783"/>
          <w:pgMar w:top="1417" w:right="1134" w:bottom="1417" w:left="1134" w:header="720" w:footer="720" w:gutter="0"/>
          <w:cols w:space="720" w:num="1"/>
          <w:docGrid w:linePitch="312" w:charSpace="0"/>
        </w:sectPr>
      </w:pPr>
      <w:r>
        <w:rPr>
          <w:rFonts w:hint="eastAsia" w:ascii="仿宋_GB2312" w:hAnsi="仿宋_GB2312" w:eastAsia="仿宋_GB2312" w:cs="仿宋_GB2312"/>
          <w:sz w:val="24"/>
          <w:szCs w:val="24"/>
        </w:rPr>
        <w:t>日    期：</w:t>
      </w:r>
    </w:p>
    <w:p>
      <w:pPr>
        <w:spacing w:line="360" w:lineRule="auto"/>
        <w:jc w:val="left"/>
        <w:outlineLvl w:val="1"/>
        <w:rPr>
          <w:rFonts w:ascii="仿宋" w:hAnsi="仿宋" w:eastAsia="仿宋" w:cs="仿宋"/>
          <w:b/>
          <w:bCs/>
          <w:sz w:val="24"/>
          <w:szCs w:val="24"/>
        </w:rPr>
      </w:pPr>
      <w:bookmarkStart w:id="45" w:name="_Toc25543"/>
      <w:r>
        <w:rPr>
          <w:rFonts w:hint="eastAsia" w:ascii="仿宋" w:hAnsi="仿宋" w:eastAsia="仿宋" w:cs="仿宋"/>
          <w:b/>
          <w:bCs/>
          <w:sz w:val="30"/>
          <w:szCs w:val="30"/>
        </w:rPr>
        <w:t>服务响应应答表</w:t>
      </w:r>
      <w:bookmarkEnd w:id="45"/>
    </w:p>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服务响应应答表</w:t>
      </w:r>
    </w:p>
    <w:p>
      <w:pPr>
        <w:pStyle w:val="17"/>
        <w:pBdr>
          <w:bottom w:val="none" w:color="auto" w:sz="0" w:space="0"/>
        </w:pBdr>
        <w:tabs>
          <w:tab w:val="clear" w:pos="4153"/>
          <w:tab w:val="clear" w:pos="8306"/>
        </w:tabs>
        <w:snapToGrid/>
        <w:spacing w:line="360" w:lineRule="auto"/>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项目名称： </w:t>
      </w:r>
    </w:p>
    <w:p>
      <w:pPr>
        <w:pStyle w:val="17"/>
        <w:pBdr>
          <w:bottom w:val="none" w:color="auto" w:sz="0" w:space="0"/>
        </w:pBdr>
        <w:tabs>
          <w:tab w:val="clear" w:pos="4153"/>
          <w:tab w:val="clear" w:pos="8306"/>
        </w:tabs>
        <w:snapToGrid/>
        <w:spacing w:line="360" w:lineRule="auto"/>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项目编号：                                    </w:t>
      </w:r>
    </w:p>
    <w:tbl>
      <w:tblPr>
        <w:tblStyle w:val="26"/>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3448"/>
        <w:gridCol w:w="3072"/>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磋商采购文件</w:t>
            </w:r>
          </w:p>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条目号</w:t>
            </w: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磋商采购文件要求</w:t>
            </w:r>
          </w:p>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（详见磋商采购文件）</w:t>
            </w: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响应文件的应答情况</w:t>
            </w: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209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448"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3072"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c>
          <w:tcPr>
            <w:tcW w:w="1243" w:type="dxa"/>
            <w:vAlign w:val="center"/>
          </w:tcPr>
          <w:p>
            <w:pPr>
              <w:pStyle w:val="17"/>
              <w:pBdr>
                <w:bottom w:val="none" w:color="auto" w:sz="0" w:space="0"/>
              </w:pBdr>
              <w:tabs>
                <w:tab w:val="clear" w:pos="4153"/>
                <w:tab w:val="clear" w:pos="8306"/>
              </w:tabs>
              <w:snapToGrid/>
              <w:spacing w:line="360" w:lineRule="auto"/>
              <w:rPr>
                <w:rFonts w:ascii="仿宋_GB2312" w:hAnsi="仿宋_GB2312" w:eastAsia="仿宋_GB2312" w:cs="仿宋_GB2312"/>
                <w:sz w:val="24"/>
                <w:szCs w:val="24"/>
              </w:rPr>
            </w:pPr>
          </w:p>
        </w:tc>
      </w:tr>
    </w:tbl>
    <w:p>
      <w:pPr>
        <w:spacing w:line="360" w:lineRule="auto"/>
        <w:rPr>
          <w:rFonts w:ascii="仿宋_GB2312" w:hAnsi="仿宋_GB2312" w:eastAsia="仿宋_GB2312" w:cs="仿宋_GB2312"/>
          <w:sz w:val="24"/>
          <w:szCs w:val="24"/>
        </w:rPr>
      </w:pPr>
    </w:p>
    <w:p>
      <w:pPr>
        <w:spacing w:line="360" w:lineRule="auto"/>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注：供应商必须根据磋商文件要求据实逐条填写，不得虚假响应，虚假响应的，其响应文件无效并按规定追究其相关责任。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仿宋_GB2312" w:hAnsi="仿宋_GB2312" w:eastAsia="仿宋_GB2312" w:cs="仿宋_GB2312"/>
          <w:sz w:val="24"/>
          <w:szCs w:val="24"/>
        </w:rPr>
      </w:pPr>
    </w:p>
    <w:p>
      <w:pPr>
        <w:adjustRightIn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adjustRightInd w:val="0"/>
        <w:spacing w:line="360" w:lineRule="auto"/>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法定代表人或授权代表（签字）：XXX</w:t>
      </w:r>
    </w:p>
    <w:p>
      <w:pPr>
        <w:adjustRightInd w:val="0"/>
        <w:spacing w:line="360" w:lineRule="auto"/>
        <w:ind w:firstLine="480" w:firstLineChars="20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日    期</w:t>
      </w:r>
      <w:r>
        <w:rPr>
          <w:rFonts w:hint="eastAsia" w:ascii="仿宋_GB2312" w:hAnsi="仿宋_GB2312" w:eastAsia="仿宋_GB2312" w:cs="仿宋_GB2312"/>
          <w:sz w:val="24"/>
          <w:szCs w:val="24"/>
        </w:rPr>
        <w:t>：</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pStyle w:val="14"/>
        <w:tabs>
          <w:tab w:val="left" w:pos="0"/>
        </w:tabs>
        <w:spacing w:line="360" w:lineRule="auto"/>
        <w:rPr>
          <w:rFonts w:ascii="仿宋" w:hAnsi="仿宋" w:eastAsia="仿宋" w:cs="仿宋"/>
          <w:sz w:val="24"/>
          <w:szCs w:val="24"/>
        </w:rPr>
      </w:pPr>
    </w:p>
    <w:p>
      <w:pPr>
        <w:pStyle w:val="14"/>
        <w:tabs>
          <w:tab w:val="left" w:pos="0"/>
        </w:tabs>
        <w:spacing w:line="360" w:lineRule="auto"/>
        <w:rPr>
          <w:rFonts w:ascii="仿宋" w:hAnsi="仿宋" w:eastAsia="仿宋" w:cs="仿宋"/>
          <w:sz w:val="24"/>
          <w:szCs w:val="24"/>
        </w:rPr>
      </w:pPr>
    </w:p>
    <w:p>
      <w:pPr>
        <w:pStyle w:val="14"/>
        <w:tabs>
          <w:tab w:val="left" w:pos="0"/>
        </w:tabs>
        <w:spacing w:line="360" w:lineRule="auto"/>
        <w:rPr>
          <w:rFonts w:ascii="仿宋" w:hAnsi="仿宋" w:eastAsia="仿宋" w:cs="仿宋"/>
          <w:sz w:val="24"/>
          <w:szCs w:val="24"/>
        </w:rPr>
      </w:pPr>
    </w:p>
    <w:p>
      <w:pPr>
        <w:pStyle w:val="14"/>
        <w:tabs>
          <w:tab w:val="left" w:pos="0"/>
        </w:tabs>
        <w:spacing w:line="360" w:lineRule="auto"/>
        <w:ind w:left="0"/>
        <w:rPr>
          <w:rFonts w:ascii="仿宋" w:hAnsi="仿宋" w:eastAsia="仿宋" w:cs="仿宋"/>
          <w:sz w:val="24"/>
          <w:szCs w:val="24"/>
        </w:rPr>
      </w:pPr>
    </w:p>
    <w:p>
      <w:pPr>
        <w:pStyle w:val="14"/>
        <w:tabs>
          <w:tab w:val="left" w:pos="0"/>
        </w:tabs>
        <w:spacing w:line="360" w:lineRule="auto"/>
        <w:ind w:left="0"/>
        <w:jc w:val="left"/>
        <w:outlineLvl w:val="1"/>
        <w:rPr>
          <w:rFonts w:ascii="仿宋" w:hAnsi="仿宋" w:eastAsia="仿宋" w:cs="仿宋"/>
          <w:szCs w:val="28"/>
        </w:rPr>
      </w:pPr>
      <w:bookmarkStart w:id="46" w:name="_Toc20223"/>
      <w:r>
        <w:rPr>
          <w:rFonts w:hint="eastAsia" w:ascii="仿宋" w:hAnsi="仿宋" w:eastAsia="仿宋" w:cs="仿宋"/>
          <w:sz w:val="30"/>
          <w:szCs w:val="30"/>
        </w:rPr>
        <w:t>商务应答表</w:t>
      </w:r>
      <w:bookmarkEnd w:id="46"/>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商务应答表</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项目名称：</w:t>
      </w:r>
    </w:p>
    <w:p>
      <w:pPr>
        <w:pStyle w:val="140"/>
        <w:spacing w:line="360" w:lineRule="auto"/>
        <w:ind w:firstLine="480" w:firstLineChars="200"/>
        <w:rPr>
          <w:rFonts w:ascii="仿宋_GB2312" w:hAnsi="仿宋_GB2312" w:eastAsia="仿宋_GB2312" w:cs="仿宋_GB2312"/>
        </w:rPr>
      </w:pPr>
      <w:r>
        <w:rPr>
          <w:rFonts w:hint="eastAsia" w:ascii="仿宋_GB2312" w:hAnsi="仿宋_GB2312" w:eastAsia="仿宋_GB2312" w:cs="仿宋_GB2312"/>
        </w:rPr>
        <w:t>项目编号：</w:t>
      </w:r>
    </w:p>
    <w:p>
      <w:pPr>
        <w:pStyle w:val="140"/>
        <w:spacing w:line="360" w:lineRule="auto"/>
        <w:rPr>
          <w:rFonts w:ascii="仿宋_GB2312" w:hAnsi="仿宋_GB2312" w:eastAsia="仿宋_GB2312" w:cs="仿宋_GB2312"/>
        </w:rPr>
      </w:pPr>
      <w:r>
        <w:rPr>
          <w:rFonts w:hint="eastAsia" w:ascii="仿宋_GB2312" w:hAnsi="仿宋_GB2312" w:eastAsia="仿宋_GB2312" w:cs="仿宋_GB2312"/>
        </w:rPr>
        <w:t xml:space="preserve">                 </w:t>
      </w:r>
    </w:p>
    <w:tbl>
      <w:tblPr>
        <w:tblStyle w:val="26"/>
        <w:tblpPr w:leftFromText="180" w:rightFromText="180" w:vertAnchor="text" w:horzAnchor="page" w:tblpX="1089" w:tblpY="41"/>
        <w:tblOverlap w:val="never"/>
        <w:tblW w:w="9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493"/>
        <w:gridCol w:w="2839"/>
        <w:gridCol w:w="2350"/>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trPr>
        <w:tc>
          <w:tcPr>
            <w:tcW w:w="744" w:type="dxa"/>
            <w:vAlign w:val="center"/>
          </w:tcPr>
          <w:p>
            <w:pPr>
              <w:pStyle w:val="8"/>
              <w:tabs>
                <w:tab w:val="left" w:pos="6880"/>
              </w:tabs>
              <w:spacing w:line="360" w:lineRule="auto"/>
              <w:ind w:firstLine="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序号</w:t>
            </w:r>
          </w:p>
        </w:tc>
        <w:tc>
          <w:tcPr>
            <w:tcW w:w="2493" w:type="dxa"/>
            <w:vAlign w:val="center"/>
          </w:tcPr>
          <w:p>
            <w:pPr>
              <w:pStyle w:val="8"/>
              <w:tabs>
                <w:tab w:val="left" w:pos="6880"/>
              </w:tabs>
              <w:spacing w:line="360" w:lineRule="auto"/>
              <w:ind w:firstLine="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磋商采购文件条目号</w:t>
            </w:r>
          </w:p>
        </w:tc>
        <w:tc>
          <w:tcPr>
            <w:tcW w:w="2839" w:type="dxa"/>
            <w:vAlign w:val="center"/>
          </w:tcPr>
          <w:p>
            <w:pPr>
              <w:pStyle w:val="8"/>
              <w:tabs>
                <w:tab w:val="left" w:pos="6880"/>
              </w:tabs>
              <w:spacing w:line="360" w:lineRule="auto"/>
              <w:ind w:firstLine="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磋商采购文件要求</w:t>
            </w:r>
          </w:p>
        </w:tc>
        <w:tc>
          <w:tcPr>
            <w:tcW w:w="2350" w:type="dxa"/>
            <w:vAlign w:val="center"/>
          </w:tcPr>
          <w:p>
            <w:pPr>
              <w:pStyle w:val="8"/>
              <w:tabs>
                <w:tab w:val="left" w:pos="6880"/>
              </w:tabs>
              <w:spacing w:line="360" w:lineRule="auto"/>
              <w:ind w:firstLine="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响应文件的应答</w:t>
            </w:r>
          </w:p>
        </w:tc>
        <w:tc>
          <w:tcPr>
            <w:tcW w:w="1394" w:type="dxa"/>
            <w:vAlign w:val="center"/>
          </w:tcPr>
          <w:p>
            <w:pPr>
              <w:pStyle w:val="8"/>
              <w:tabs>
                <w:tab w:val="left" w:pos="6880"/>
              </w:tabs>
              <w:spacing w:line="360" w:lineRule="auto"/>
              <w:ind w:firstLine="0"/>
              <w:jc w:val="center"/>
              <w:rPr>
                <w:rFonts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44" w:type="dxa"/>
            <w:vAlign w:val="center"/>
          </w:tcPr>
          <w:p>
            <w:pPr>
              <w:pStyle w:val="8"/>
              <w:tabs>
                <w:tab w:val="left" w:pos="34"/>
              </w:tabs>
              <w:spacing w:line="360" w:lineRule="auto"/>
              <w:ind w:firstLine="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493"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839"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350"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1394"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44" w:type="dxa"/>
            <w:vAlign w:val="center"/>
          </w:tcPr>
          <w:p>
            <w:pPr>
              <w:pStyle w:val="8"/>
              <w:tabs>
                <w:tab w:val="left" w:pos="34"/>
              </w:tabs>
              <w:spacing w:line="360" w:lineRule="auto"/>
              <w:ind w:firstLine="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493"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839"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350"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1394"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44" w:type="dxa"/>
            <w:vAlign w:val="center"/>
          </w:tcPr>
          <w:p>
            <w:pPr>
              <w:pStyle w:val="8"/>
              <w:tabs>
                <w:tab w:val="left" w:pos="34"/>
              </w:tabs>
              <w:spacing w:line="360" w:lineRule="auto"/>
              <w:ind w:firstLine="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493"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839"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350"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1394"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44" w:type="dxa"/>
            <w:vAlign w:val="center"/>
          </w:tcPr>
          <w:p>
            <w:pPr>
              <w:pStyle w:val="8"/>
              <w:tabs>
                <w:tab w:val="left" w:pos="34"/>
              </w:tabs>
              <w:spacing w:line="360" w:lineRule="auto"/>
              <w:ind w:firstLine="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493"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839"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350"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1394"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744" w:type="dxa"/>
            <w:vAlign w:val="center"/>
          </w:tcPr>
          <w:p>
            <w:pPr>
              <w:pStyle w:val="8"/>
              <w:tabs>
                <w:tab w:val="left" w:pos="34"/>
              </w:tabs>
              <w:spacing w:line="360" w:lineRule="auto"/>
              <w:ind w:firstLine="0"/>
              <w:jc w:val="center"/>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493"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839"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2350"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c>
          <w:tcPr>
            <w:tcW w:w="1394" w:type="dxa"/>
            <w:vAlign w:val="center"/>
          </w:tcPr>
          <w:p>
            <w:pPr>
              <w:pStyle w:val="8"/>
              <w:tabs>
                <w:tab w:val="left" w:pos="6880"/>
              </w:tabs>
              <w:spacing w:line="360" w:lineRule="auto"/>
              <w:ind w:firstLine="480"/>
              <w:jc w:val="center"/>
              <w:rPr>
                <w:rFonts w:ascii="仿宋_GB2312" w:hAnsi="仿宋_GB2312" w:eastAsia="仿宋_GB2312" w:cs="仿宋_GB2312"/>
                <w:kern w:val="0"/>
                <w:sz w:val="24"/>
                <w:szCs w:val="24"/>
              </w:rPr>
            </w:pPr>
          </w:p>
        </w:tc>
      </w:tr>
    </w:tbl>
    <w:p>
      <w:pPr>
        <w:spacing w:line="360" w:lineRule="auto"/>
        <w:rPr>
          <w:rFonts w:ascii="仿宋_GB2312" w:hAnsi="仿宋_GB2312" w:eastAsia="仿宋_GB2312" w:cs="仿宋_GB2312"/>
          <w:sz w:val="24"/>
          <w:szCs w:val="24"/>
        </w:rPr>
      </w:pPr>
    </w:p>
    <w:p>
      <w:pPr>
        <w:spacing w:line="360" w:lineRule="auto"/>
        <w:ind w:firstLine="480" w:firstLineChars="200"/>
        <w:rPr>
          <w:rFonts w:ascii="仿宋_GB2312" w:hAnsi="仿宋_GB2312" w:eastAsia="仿宋_GB2312" w:cs="仿宋_GB2312"/>
          <w:b/>
          <w:sz w:val="24"/>
          <w:szCs w:val="24"/>
        </w:rPr>
      </w:pPr>
      <w:r>
        <w:rPr>
          <w:rFonts w:hint="eastAsia" w:ascii="仿宋_GB2312" w:hAnsi="仿宋_GB2312" w:eastAsia="仿宋_GB2312" w:cs="仿宋_GB2312"/>
          <w:sz w:val="24"/>
          <w:szCs w:val="24"/>
        </w:rPr>
        <w:t>注意：供应商必须据实填写，不得虚假响应，虚假响应的，其响应文件无效并按规定追究其相关责任。</w:t>
      </w:r>
    </w:p>
    <w:p>
      <w:pPr>
        <w:adjustRightInd w:val="0"/>
        <w:spacing w:line="360" w:lineRule="auto"/>
        <w:ind w:firstLine="480" w:firstLineChars="200"/>
        <w:jc w:val="left"/>
        <w:rPr>
          <w:rFonts w:ascii="仿宋_GB2312" w:hAnsi="仿宋_GB2312" w:eastAsia="仿宋_GB2312" w:cs="仿宋_GB2312"/>
          <w:sz w:val="24"/>
          <w:szCs w:val="24"/>
        </w:rPr>
      </w:pPr>
    </w:p>
    <w:p>
      <w:pPr>
        <w:adjustRightIn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adjustRightInd w:val="0"/>
        <w:spacing w:line="360" w:lineRule="auto"/>
        <w:ind w:firstLine="540" w:firstLineChars="225"/>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法定代表人或授权代表（签字）：XXX</w:t>
      </w:r>
    </w:p>
    <w:p>
      <w:pPr>
        <w:adjustRightInd w:val="0"/>
        <w:spacing w:line="360" w:lineRule="auto"/>
        <w:ind w:firstLine="540" w:firstLineChars="225"/>
        <w:jc w:val="left"/>
        <w:rPr>
          <w:rFonts w:ascii="仿宋_GB2312" w:hAnsi="仿宋_GB2312" w:eastAsia="仿宋_GB2312" w:cs="仿宋_GB2312"/>
          <w:sz w:val="24"/>
          <w:szCs w:val="24"/>
        </w:rPr>
        <w:sectPr>
          <w:pgSz w:w="11850" w:h="16783"/>
          <w:pgMar w:top="1417" w:right="1134" w:bottom="1417" w:left="1134" w:header="851" w:footer="992" w:gutter="0"/>
          <w:cols w:space="720" w:num="1"/>
          <w:docGrid w:linePitch="312" w:charSpace="0"/>
        </w:sectPr>
      </w:pPr>
      <w:r>
        <w:rPr>
          <w:rFonts w:hint="eastAsia" w:ascii="仿宋_GB2312" w:hAnsi="仿宋_GB2312" w:eastAsia="仿宋_GB2312" w:cs="仿宋_GB2312"/>
          <w:bCs/>
          <w:sz w:val="24"/>
          <w:szCs w:val="24"/>
        </w:rPr>
        <w:t>日    期：</w:t>
      </w:r>
    </w:p>
    <w:p>
      <w:pPr>
        <w:spacing w:line="360" w:lineRule="auto"/>
        <w:jc w:val="left"/>
        <w:outlineLvl w:val="1"/>
        <w:rPr>
          <w:rFonts w:ascii="仿宋" w:hAnsi="仿宋" w:eastAsia="仿宋" w:cs="仿宋"/>
          <w:b/>
          <w:sz w:val="30"/>
          <w:szCs w:val="30"/>
        </w:rPr>
      </w:pPr>
      <w:bookmarkStart w:id="47" w:name="_Toc8797"/>
      <w:r>
        <w:rPr>
          <w:rFonts w:hint="eastAsia" w:ascii="仿宋" w:hAnsi="仿宋" w:eastAsia="仿宋" w:cs="仿宋"/>
          <w:b/>
          <w:sz w:val="30"/>
          <w:szCs w:val="30"/>
        </w:rPr>
        <w:t>供应商针对本项目人员情况表</w:t>
      </w:r>
      <w:bookmarkEnd w:id="47"/>
    </w:p>
    <w:p>
      <w:pPr>
        <w:spacing w:line="360" w:lineRule="auto"/>
        <w:jc w:val="center"/>
        <w:rPr>
          <w:rFonts w:ascii="仿宋_GB2312" w:hAnsi="仿宋_GB2312" w:eastAsia="仿宋_GB2312" w:cs="仿宋_GB2312"/>
          <w:sz w:val="28"/>
          <w:szCs w:val="28"/>
        </w:rPr>
      </w:pPr>
      <w:r>
        <w:rPr>
          <w:rFonts w:hint="eastAsia" w:ascii="仿宋_GB2312" w:hAnsi="仿宋_GB2312" w:eastAsia="仿宋_GB2312" w:cs="仿宋_GB2312"/>
          <w:b/>
          <w:sz w:val="28"/>
          <w:szCs w:val="28"/>
        </w:rPr>
        <w:t>供应商针对本项目人员情况表</w:t>
      </w:r>
    </w:p>
    <w:p>
      <w:pPr>
        <w:pStyle w:val="8"/>
        <w:tabs>
          <w:tab w:val="left" w:pos="7020"/>
        </w:tabs>
        <w:spacing w:line="360" w:lineRule="auto"/>
        <w:ind w:firstLine="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项目名称：</w:t>
      </w:r>
      <w:r>
        <w:rPr>
          <w:rFonts w:hint="eastAsia" w:ascii="仿宋_GB2312" w:hAnsi="仿宋_GB2312" w:eastAsia="仿宋_GB2312" w:cs="仿宋_GB2312"/>
          <w:sz w:val="24"/>
          <w:szCs w:val="24"/>
        </w:rPr>
        <w:tab/>
      </w:r>
    </w:p>
    <w:p>
      <w:pPr>
        <w:pStyle w:val="8"/>
        <w:tabs>
          <w:tab w:val="left" w:pos="7560"/>
        </w:tabs>
        <w:spacing w:line="360" w:lineRule="auto"/>
        <w:ind w:firstLine="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项目编号：</w:t>
      </w:r>
    </w:p>
    <w:tbl>
      <w:tblPr>
        <w:tblStyle w:val="26"/>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488"/>
        <w:gridCol w:w="914"/>
        <w:gridCol w:w="914"/>
        <w:gridCol w:w="1229"/>
        <w:gridCol w:w="914"/>
        <w:gridCol w:w="914"/>
        <w:gridCol w:w="914"/>
        <w:gridCol w:w="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1488"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职务</w:t>
            </w:r>
          </w:p>
        </w:tc>
        <w:tc>
          <w:tcPr>
            <w:tcW w:w="914"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914"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职称</w:t>
            </w:r>
          </w:p>
        </w:tc>
        <w:tc>
          <w:tcPr>
            <w:tcW w:w="1229"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常住地</w:t>
            </w:r>
          </w:p>
        </w:tc>
        <w:tc>
          <w:tcPr>
            <w:tcW w:w="3656" w:type="dxa"/>
            <w:gridSpan w:val="4"/>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continue"/>
            <w:vAlign w:val="center"/>
          </w:tcPr>
          <w:p>
            <w:pPr>
              <w:spacing w:line="360" w:lineRule="auto"/>
              <w:jc w:val="center"/>
              <w:rPr>
                <w:rFonts w:ascii="仿宋_GB2312" w:hAnsi="仿宋_GB2312" w:eastAsia="仿宋_GB2312" w:cs="仿宋_GB2312"/>
                <w:sz w:val="24"/>
                <w:szCs w:val="24"/>
              </w:rPr>
            </w:pPr>
          </w:p>
        </w:tc>
        <w:tc>
          <w:tcPr>
            <w:tcW w:w="1488" w:type="dxa"/>
            <w:vMerge w:val="continue"/>
            <w:vAlign w:val="center"/>
          </w:tcPr>
          <w:p>
            <w:pPr>
              <w:spacing w:line="360" w:lineRule="auto"/>
              <w:jc w:val="center"/>
              <w:rPr>
                <w:rFonts w:ascii="仿宋_GB2312" w:hAnsi="仿宋_GB2312" w:eastAsia="仿宋_GB2312" w:cs="仿宋_GB2312"/>
                <w:sz w:val="24"/>
                <w:szCs w:val="24"/>
              </w:rPr>
            </w:pPr>
          </w:p>
        </w:tc>
        <w:tc>
          <w:tcPr>
            <w:tcW w:w="914" w:type="dxa"/>
            <w:vMerge w:val="continue"/>
            <w:vAlign w:val="center"/>
          </w:tcPr>
          <w:p>
            <w:pPr>
              <w:spacing w:line="360" w:lineRule="auto"/>
              <w:jc w:val="center"/>
              <w:rPr>
                <w:rFonts w:ascii="仿宋_GB2312" w:hAnsi="仿宋_GB2312" w:eastAsia="仿宋_GB2312" w:cs="仿宋_GB2312"/>
                <w:sz w:val="24"/>
                <w:szCs w:val="24"/>
              </w:rPr>
            </w:pPr>
          </w:p>
        </w:tc>
        <w:tc>
          <w:tcPr>
            <w:tcW w:w="914" w:type="dxa"/>
            <w:vMerge w:val="continue"/>
            <w:vAlign w:val="center"/>
          </w:tcPr>
          <w:p>
            <w:pPr>
              <w:spacing w:line="360" w:lineRule="auto"/>
              <w:jc w:val="center"/>
              <w:rPr>
                <w:rFonts w:ascii="仿宋_GB2312" w:hAnsi="仿宋_GB2312" w:eastAsia="仿宋_GB2312" w:cs="仿宋_GB2312"/>
                <w:sz w:val="24"/>
                <w:szCs w:val="24"/>
              </w:rPr>
            </w:pPr>
          </w:p>
        </w:tc>
        <w:tc>
          <w:tcPr>
            <w:tcW w:w="1229" w:type="dxa"/>
            <w:vMerge w:val="continue"/>
            <w:vAlign w:val="center"/>
          </w:tcPr>
          <w:p>
            <w:pPr>
              <w:spacing w:line="360" w:lineRule="auto"/>
              <w:jc w:val="center"/>
              <w:rPr>
                <w:rFonts w:ascii="仿宋_GB2312" w:hAnsi="仿宋_GB2312" w:eastAsia="仿宋_GB2312" w:cs="仿宋_GB2312"/>
                <w:sz w:val="24"/>
                <w:szCs w:val="24"/>
              </w:rPr>
            </w:pPr>
          </w:p>
        </w:tc>
        <w:tc>
          <w:tcPr>
            <w:tcW w:w="914" w:type="dxa"/>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证书</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名称</w:t>
            </w:r>
          </w:p>
        </w:tc>
        <w:tc>
          <w:tcPr>
            <w:tcW w:w="914" w:type="dxa"/>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级别</w:t>
            </w:r>
          </w:p>
        </w:tc>
        <w:tc>
          <w:tcPr>
            <w:tcW w:w="914" w:type="dxa"/>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证号</w:t>
            </w:r>
          </w:p>
        </w:tc>
        <w:tc>
          <w:tcPr>
            <w:tcW w:w="914" w:type="dxa"/>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管理</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1488"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1229"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continue"/>
            <w:vAlign w:val="center"/>
          </w:tcPr>
          <w:p>
            <w:pPr>
              <w:spacing w:line="360" w:lineRule="auto"/>
              <w:jc w:val="center"/>
              <w:rPr>
                <w:rFonts w:ascii="仿宋_GB2312" w:hAnsi="仿宋_GB2312" w:eastAsia="仿宋_GB2312" w:cs="仿宋_GB2312"/>
                <w:sz w:val="24"/>
                <w:szCs w:val="24"/>
              </w:rPr>
            </w:pPr>
          </w:p>
        </w:tc>
        <w:tc>
          <w:tcPr>
            <w:tcW w:w="1488"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1229"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continue"/>
            <w:vAlign w:val="center"/>
          </w:tcPr>
          <w:p>
            <w:pPr>
              <w:spacing w:line="360" w:lineRule="auto"/>
              <w:jc w:val="center"/>
              <w:rPr>
                <w:rFonts w:ascii="仿宋_GB2312" w:hAnsi="仿宋_GB2312" w:eastAsia="仿宋_GB2312" w:cs="仿宋_GB2312"/>
                <w:sz w:val="24"/>
                <w:szCs w:val="24"/>
              </w:rPr>
            </w:pPr>
          </w:p>
        </w:tc>
        <w:tc>
          <w:tcPr>
            <w:tcW w:w="1488"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1229"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restart"/>
            <w:vAlign w:val="center"/>
          </w:tcPr>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技术</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人员</w:t>
            </w:r>
          </w:p>
        </w:tc>
        <w:tc>
          <w:tcPr>
            <w:tcW w:w="1488"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1229"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continue"/>
            <w:vAlign w:val="center"/>
          </w:tcPr>
          <w:p>
            <w:pPr>
              <w:spacing w:line="360" w:lineRule="auto"/>
              <w:jc w:val="center"/>
              <w:rPr>
                <w:rFonts w:ascii="仿宋_GB2312" w:hAnsi="仿宋_GB2312" w:eastAsia="仿宋_GB2312" w:cs="仿宋_GB2312"/>
                <w:sz w:val="24"/>
                <w:szCs w:val="24"/>
              </w:rPr>
            </w:pPr>
          </w:p>
        </w:tc>
        <w:tc>
          <w:tcPr>
            <w:tcW w:w="1488"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1229"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Merge w:val="continue"/>
            <w:vAlign w:val="center"/>
          </w:tcPr>
          <w:p>
            <w:pPr>
              <w:spacing w:line="360" w:lineRule="auto"/>
              <w:jc w:val="center"/>
              <w:rPr>
                <w:rFonts w:ascii="仿宋_GB2312" w:hAnsi="仿宋_GB2312" w:eastAsia="仿宋_GB2312" w:cs="仿宋_GB2312"/>
                <w:sz w:val="24"/>
                <w:szCs w:val="24"/>
              </w:rPr>
            </w:pPr>
          </w:p>
        </w:tc>
        <w:tc>
          <w:tcPr>
            <w:tcW w:w="1488"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1229"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c>
          <w:tcPr>
            <w:tcW w:w="914" w:type="dxa"/>
          </w:tcPr>
          <w:p>
            <w:pPr>
              <w:spacing w:line="360" w:lineRule="auto"/>
              <w:rPr>
                <w:rFonts w:ascii="仿宋_GB2312" w:hAnsi="仿宋_GB2312" w:eastAsia="仿宋_GB2312" w:cs="仿宋_GB2312"/>
                <w:sz w:val="24"/>
                <w:szCs w:val="24"/>
              </w:rPr>
            </w:pPr>
          </w:p>
        </w:tc>
      </w:tr>
    </w:tbl>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法定代表人或授权代表（签字）：XXX</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日    期：</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sectPr>
          <w:footerReference r:id="rId7" w:type="default"/>
          <w:footerReference r:id="rId8" w:type="even"/>
          <w:pgSz w:w="11850" w:h="16783"/>
          <w:pgMar w:top="1417" w:right="1134" w:bottom="1417" w:left="1134" w:header="851" w:footer="992" w:gutter="0"/>
          <w:cols w:space="720" w:num="1"/>
          <w:docGrid w:type="lines" w:linePitch="312" w:charSpace="0"/>
        </w:sectPr>
      </w:pPr>
    </w:p>
    <w:p>
      <w:pPr>
        <w:pStyle w:val="139"/>
        <w:spacing w:before="46" w:after="46"/>
        <w:ind w:firstLine="0" w:firstLineChars="0"/>
        <w:outlineLvl w:val="1"/>
        <w:rPr>
          <w:rFonts w:ascii="仿宋" w:hAnsi="仿宋" w:eastAsia="仿宋" w:cs="仿宋"/>
          <w:b/>
          <w:bCs/>
          <w:sz w:val="30"/>
          <w:szCs w:val="30"/>
        </w:rPr>
      </w:pPr>
      <w:bookmarkStart w:id="48" w:name="_Toc30074"/>
      <w:bookmarkStart w:id="49" w:name="_Toc20369"/>
      <w:bookmarkStart w:id="50" w:name="_Toc17041"/>
      <w:bookmarkStart w:id="51" w:name="_Toc5664"/>
      <w:r>
        <w:rPr>
          <w:rFonts w:ascii="仿宋" w:hAnsi="仿宋" w:eastAsia="仿宋" w:cs="仿宋"/>
          <w:b/>
          <w:bCs/>
          <w:sz w:val="30"/>
          <w:szCs w:val="30"/>
        </w:rPr>
        <w:pict>
          <v:rect id="Rectangle 2" o:spid="_x0000_s1111" o:spt="1" style="position:absolute;left:0pt;margin-left:337.45pt;margin-top:33.6pt;height:39.65pt;width:135pt;z-index:1024;mso-width-relative:page;mso-height-relative:page;" coordsize="21600,21600" o:gfxdata="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vnS3j9cAAAAKAQAADwAAAAAA&#10;AAABACAAAAAiAAAAZHJzL2Rvd25yZXYueG1sUEsBAhQAFAAAAAgAh07iQHMs/jjbAQAA3gMAAA4A&#10;AAAAAAAAAQAgAAAAJgEAAGRycy9lMm9Eb2MueG1sUEsFBgAAAAAGAAYAWQEAAHMFAAAAAA==&#10;">
            <v:path/>
            <v:fill focussize="0,0"/>
            <v:stroke/>
            <v:imagedata o:title=""/>
            <o:lock v:ext="edit"/>
            <v:textbox>
              <w:txbxContent>
                <w:p>
                  <w:pPr>
                    <w:jc w:val="center"/>
                    <w:rPr>
                      <w:b/>
                      <w:sz w:val="44"/>
                      <w:szCs w:val="44"/>
                    </w:rPr>
                  </w:pPr>
                  <w:r>
                    <w:rPr>
                      <w:rFonts w:hint="eastAsia"/>
                      <w:b/>
                      <w:sz w:val="44"/>
                      <w:szCs w:val="44"/>
                    </w:rPr>
                    <w:t>正本或副本</w:t>
                  </w:r>
                </w:p>
              </w:txbxContent>
            </v:textbox>
          </v:rect>
        </w:pict>
      </w:r>
      <w:r>
        <w:rPr>
          <w:rFonts w:hint="eastAsia" w:ascii="仿宋" w:hAnsi="仿宋" w:eastAsia="仿宋" w:cs="仿宋"/>
          <w:b/>
          <w:bCs/>
          <w:sz w:val="30"/>
          <w:szCs w:val="30"/>
        </w:rPr>
        <w:t xml:space="preserve"> 响应文件封面格式</w:t>
      </w:r>
      <w:bookmarkEnd w:id="48"/>
      <w:bookmarkEnd w:id="49"/>
      <w:bookmarkEnd w:id="50"/>
      <w:bookmarkEnd w:id="51"/>
    </w:p>
    <w:p>
      <w:pPr>
        <w:pStyle w:val="139"/>
        <w:spacing w:before="46" w:after="46"/>
        <w:ind w:firstLine="480"/>
        <w:rPr>
          <w:rFonts w:ascii="仿宋" w:hAnsi="仿宋" w:eastAsia="仿宋" w:cs="仿宋"/>
          <w:sz w:val="24"/>
        </w:rPr>
      </w:pPr>
    </w:p>
    <w:p>
      <w:pPr>
        <w:pStyle w:val="139"/>
        <w:spacing w:before="46" w:after="46"/>
        <w:ind w:firstLine="480"/>
        <w:rPr>
          <w:rFonts w:ascii="仿宋" w:hAnsi="仿宋" w:eastAsia="仿宋" w:cs="仿宋"/>
          <w:b/>
          <w:sz w:val="24"/>
        </w:rPr>
      </w:pPr>
    </w:p>
    <w:p>
      <w:pPr>
        <w:pStyle w:val="139"/>
        <w:spacing w:before="46" w:after="46"/>
        <w:ind w:firstLine="0" w:firstLineChars="0"/>
        <w:jc w:val="center"/>
        <w:rPr>
          <w:rFonts w:ascii="仿宋" w:hAnsi="仿宋" w:eastAsia="仿宋" w:cs="仿宋"/>
          <w:b/>
          <w:sz w:val="52"/>
          <w:szCs w:val="52"/>
        </w:rPr>
      </w:pPr>
      <w:r>
        <w:rPr>
          <w:rFonts w:hint="eastAsia" w:ascii="仿宋" w:hAnsi="仿宋" w:eastAsia="仿宋" w:cs="仿宋"/>
          <w:b/>
          <w:sz w:val="52"/>
          <w:szCs w:val="52"/>
        </w:rPr>
        <w:t>响  应  文  件</w:t>
      </w:r>
    </w:p>
    <w:p>
      <w:pPr>
        <w:pStyle w:val="139"/>
        <w:spacing w:before="46" w:after="46"/>
        <w:ind w:firstLine="240" w:firstLineChars="100"/>
        <w:rPr>
          <w:rFonts w:ascii="仿宋" w:hAnsi="仿宋" w:eastAsia="仿宋" w:cs="仿宋"/>
          <w:sz w:val="24"/>
        </w:rPr>
      </w:pPr>
    </w:p>
    <w:p>
      <w:pPr>
        <w:pStyle w:val="139"/>
        <w:spacing w:before="46" w:after="46"/>
        <w:ind w:firstLine="280" w:firstLineChars="100"/>
        <w:jc w:val="center"/>
        <w:rPr>
          <w:rFonts w:ascii="仿宋_GB2312" w:hAnsi="仿宋_GB2312" w:cs="仿宋_GB2312"/>
          <w:szCs w:val="28"/>
        </w:rPr>
      </w:pPr>
      <w:r>
        <w:rPr>
          <w:rFonts w:hint="eastAsia" w:ascii="仿宋_GB2312" w:hAnsi="仿宋_GB2312" w:cs="仿宋_GB2312"/>
          <w:szCs w:val="28"/>
        </w:rPr>
        <w:t>（资格性响应文件/其他响应文件）</w:t>
      </w:r>
    </w:p>
    <w:p>
      <w:pPr>
        <w:pStyle w:val="139"/>
        <w:spacing w:before="46" w:after="46"/>
        <w:ind w:firstLine="480"/>
        <w:jc w:val="center"/>
        <w:rPr>
          <w:rFonts w:ascii="仿宋_GB2312" w:hAnsi="仿宋_GB2312" w:cs="仿宋_GB2312"/>
          <w:sz w:val="24"/>
        </w:rPr>
      </w:pPr>
    </w:p>
    <w:p>
      <w:pPr>
        <w:pStyle w:val="139"/>
        <w:spacing w:before="46" w:after="46"/>
        <w:ind w:firstLine="1680" w:firstLineChars="600"/>
        <w:rPr>
          <w:rFonts w:ascii="仿宋_GB2312" w:hAnsi="仿宋_GB2312" w:cs="仿宋_GB2312"/>
          <w:szCs w:val="28"/>
          <w:u w:val="single"/>
        </w:rPr>
      </w:pPr>
      <w:r>
        <w:rPr>
          <w:rFonts w:hint="eastAsia" w:ascii="仿宋_GB2312" w:hAnsi="仿宋_GB2312" w:cs="仿宋_GB2312"/>
          <w:szCs w:val="28"/>
        </w:rPr>
        <w:t>项目编号：</w:t>
      </w:r>
      <w:r>
        <w:rPr>
          <w:rFonts w:hint="eastAsia" w:ascii="仿宋_GB2312" w:hAnsi="仿宋_GB2312" w:cs="仿宋_GB2312"/>
          <w:szCs w:val="28"/>
          <w:u w:val="single"/>
        </w:rPr>
        <w:t xml:space="preserve">                           </w:t>
      </w:r>
    </w:p>
    <w:p>
      <w:pPr>
        <w:pStyle w:val="139"/>
        <w:spacing w:before="46" w:after="46"/>
        <w:ind w:firstLine="1680" w:firstLineChars="600"/>
        <w:rPr>
          <w:rFonts w:ascii="仿宋_GB2312" w:hAnsi="仿宋_GB2312" w:cs="仿宋_GB2312"/>
          <w:szCs w:val="28"/>
          <w:u w:val="single"/>
        </w:rPr>
      </w:pPr>
      <w:r>
        <w:rPr>
          <w:rFonts w:hint="eastAsia" w:ascii="仿宋_GB2312" w:hAnsi="仿宋_GB2312" w:cs="仿宋_GB2312"/>
          <w:szCs w:val="28"/>
        </w:rPr>
        <w:t>项目名称：</w:t>
      </w:r>
      <w:r>
        <w:rPr>
          <w:rFonts w:hint="eastAsia" w:ascii="仿宋_GB2312" w:hAnsi="仿宋_GB2312" w:cs="仿宋_GB2312"/>
          <w:szCs w:val="28"/>
          <w:u w:val="single"/>
        </w:rPr>
        <w:t xml:space="preserve">                           </w:t>
      </w:r>
    </w:p>
    <w:p>
      <w:pPr>
        <w:pStyle w:val="139"/>
        <w:spacing w:before="46" w:after="46"/>
        <w:ind w:firstLine="1680" w:firstLineChars="600"/>
        <w:rPr>
          <w:rFonts w:ascii="仿宋_GB2312" w:hAnsi="仿宋_GB2312" w:cs="仿宋_GB2312"/>
          <w:szCs w:val="28"/>
          <w:u w:val="single"/>
        </w:rPr>
      </w:pPr>
      <w:r>
        <w:rPr>
          <w:rFonts w:hint="eastAsia" w:ascii="仿宋_GB2312" w:hAnsi="仿宋_GB2312" w:cs="仿宋_GB2312"/>
          <w:szCs w:val="28"/>
        </w:rPr>
        <w:t>供应商（加盖公章）：</w:t>
      </w:r>
      <w:r>
        <w:rPr>
          <w:rFonts w:hint="eastAsia" w:ascii="仿宋_GB2312" w:hAnsi="仿宋_GB2312" w:cs="仿宋_GB2312"/>
          <w:szCs w:val="28"/>
          <w:u w:val="single"/>
        </w:rPr>
        <w:t xml:space="preserve">                 </w:t>
      </w:r>
    </w:p>
    <w:p>
      <w:pPr>
        <w:pStyle w:val="139"/>
        <w:spacing w:before="46" w:after="46"/>
        <w:ind w:firstLine="1680" w:firstLineChars="600"/>
        <w:rPr>
          <w:rFonts w:ascii="仿宋_GB2312" w:hAnsi="仿宋_GB2312" w:cs="仿宋_GB2312"/>
          <w:sz w:val="24"/>
          <w:u w:val="single"/>
        </w:rPr>
      </w:pPr>
      <w:r>
        <w:rPr>
          <w:rFonts w:hint="eastAsia" w:ascii="仿宋_GB2312" w:hAnsi="仿宋_GB2312" w:cs="仿宋_GB2312"/>
          <w:szCs w:val="28"/>
        </w:rPr>
        <w:t>法定代表人或其委托代理人签字：</w:t>
      </w:r>
      <w:r>
        <w:rPr>
          <w:rFonts w:hint="eastAsia" w:ascii="仿宋_GB2312" w:hAnsi="仿宋_GB2312" w:cs="仿宋_GB2312"/>
          <w:szCs w:val="28"/>
          <w:u w:val="single"/>
        </w:rPr>
        <w:t xml:space="preserve">       </w:t>
      </w:r>
    </w:p>
    <w:p>
      <w:pPr>
        <w:tabs>
          <w:tab w:val="left" w:pos="7665"/>
        </w:tabs>
        <w:spacing w:line="360" w:lineRule="auto"/>
        <w:jc w:val="right"/>
        <w:rPr>
          <w:rFonts w:ascii="仿宋_GB2312" w:hAnsi="仿宋_GB2312" w:eastAsia="仿宋_GB2312" w:cs="仿宋_GB2312"/>
          <w:sz w:val="32"/>
          <w:szCs w:val="32"/>
        </w:rPr>
      </w:pPr>
    </w:p>
    <w:p>
      <w:pPr>
        <w:tabs>
          <w:tab w:val="left" w:pos="7665"/>
        </w:tabs>
        <w:spacing w:line="360" w:lineRule="auto"/>
        <w:jc w:val="right"/>
        <w:rPr>
          <w:rFonts w:ascii="仿宋_GB2312" w:hAnsi="仿宋_GB2312" w:eastAsia="仿宋_GB2312" w:cs="仿宋_GB2312"/>
          <w:sz w:val="32"/>
          <w:szCs w:val="32"/>
        </w:rPr>
      </w:pPr>
    </w:p>
    <w:p>
      <w:pPr>
        <w:tabs>
          <w:tab w:val="left" w:pos="7665"/>
        </w:tabs>
        <w:spacing w:line="360" w:lineRule="auto"/>
        <w:jc w:val="right"/>
        <w:rPr>
          <w:rFonts w:ascii="仿宋_GB2312" w:hAnsi="仿宋_GB2312" w:eastAsia="仿宋_GB2312" w:cs="仿宋_GB2312"/>
          <w:sz w:val="32"/>
          <w:szCs w:val="32"/>
        </w:rPr>
      </w:pPr>
    </w:p>
    <w:p>
      <w:pPr>
        <w:tabs>
          <w:tab w:val="left" w:pos="7665"/>
        </w:tabs>
        <w:spacing w:line="360" w:lineRule="auto"/>
        <w:jc w:val="right"/>
        <w:rPr>
          <w:rFonts w:ascii="仿宋_GB2312" w:hAnsi="仿宋_GB2312" w:eastAsia="仿宋_GB2312" w:cs="仿宋_GB2312"/>
          <w:sz w:val="24"/>
          <w:szCs w:val="24"/>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24"/>
          <w:szCs w:val="24"/>
        </w:rPr>
        <w:t xml:space="preserve"> </w:t>
      </w:r>
    </w:p>
    <w:p>
      <w:pPr>
        <w:spacing w:line="360" w:lineRule="auto"/>
        <w:rPr>
          <w:rFonts w:ascii="仿宋_GB2312" w:hAnsi="仿宋_GB2312" w:eastAsia="仿宋_GB2312" w:cs="仿宋_GB2312"/>
          <w:b/>
          <w:sz w:val="24"/>
          <w:szCs w:val="24"/>
        </w:rPr>
        <w:sectPr>
          <w:pgSz w:w="11850" w:h="16783"/>
          <w:pgMar w:top="1417" w:right="1134" w:bottom="1417" w:left="1134" w:header="851" w:footer="992" w:gutter="0"/>
          <w:cols w:space="720" w:num="1"/>
          <w:docGrid w:type="lines" w:linePitch="312" w:charSpace="0"/>
        </w:sectPr>
      </w:pPr>
    </w:p>
    <w:p>
      <w:pPr>
        <w:pStyle w:val="139"/>
        <w:spacing w:before="46" w:after="46"/>
        <w:ind w:firstLine="0" w:firstLineChars="0"/>
        <w:outlineLvl w:val="1"/>
        <w:rPr>
          <w:rFonts w:ascii="仿宋" w:hAnsi="仿宋" w:eastAsia="仿宋" w:cs="仿宋"/>
          <w:b/>
          <w:sz w:val="30"/>
          <w:szCs w:val="30"/>
        </w:rPr>
      </w:pPr>
      <w:bookmarkStart w:id="52" w:name="_Toc10865"/>
      <w:bookmarkStart w:id="53" w:name="_Toc7606"/>
      <w:r>
        <w:rPr>
          <w:rFonts w:hint="eastAsia" w:ascii="仿宋" w:hAnsi="仿宋" w:eastAsia="仿宋" w:cs="仿宋"/>
          <w:b/>
          <w:sz w:val="30"/>
          <w:szCs w:val="30"/>
        </w:rPr>
        <w:t>报价响应文件封面格式</w:t>
      </w:r>
      <w:bookmarkEnd w:id="52"/>
      <w:bookmarkEnd w:id="53"/>
    </w:p>
    <w:p>
      <w:pPr>
        <w:pStyle w:val="139"/>
        <w:spacing w:before="46" w:after="46"/>
        <w:ind w:firstLine="480"/>
        <w:rPr>
          <w:rFonts w:ascii="仿宋" w:hAnsi="仿宋" w:eastAsia="仿宋" w:cs="仿宋"/>
          <w:sz w:val="24"/>
        </w:rPr>
      </w:pPr>
    </w:p>
    <w:p>
      <w:pPr>
        <w:pStyle w:val="139"/>
        <w:spacing w:before="46" w:after="46"/>
        <w:ind w:firstLine="480"/>
        <w:rPr>
          <w:rFonts w:ascii="仿宋" w:hAnsi="仿宋" w:eastAsia="仿宋" w:cs="仿宋"/>
          <w:b/>
          <w:sz w:val="24"/>
        </w:rPr>
      </w:pPr>
    </w:p>
    <w:p>
      <w:pPr>
        <w:pStyle w:val="139"/>
        <w:spacing w:before="46" w:after="46"/>
        <w:ind w:firstLine="240" w:firstLineChars="100"/>
        <w:rPr>
          <w:rFonts w:ascii="仿宋" w:hAnsi="仿宋" w:eastAsia="仿宋" w:cs="仿宋"/>
          <w:b/>
          <w:sz w:val="24"/>
        </w:rPr>
      </w:pPr>
    </w:p>
    <w:p>
      <w:pPr>
        <w:pStyle w:val="139"/>
        <w:spacing w:before="46" w:after="46"/>
        <w:ind w:firstLine="0" w:firstLineChars="0"/>
        <w:jc w:val="center"/>
        <w:rPr>
          <w:rFonts w:ascii="仿宋" w:hAnsi="仿宋" w:eastAsia="仿宋" w:cs="仿宋"/>
          <w:b/>
          <w:sz w:val="52"/>
          <w:szCs w:val="52"/>
        </w:rPr>
      </w:pPr>
      <w:r>
        <w:rPr>
          <w:rFonts w:hint="eastAsia" w:ascii="仿宋" w:hAnsi="仿宋" w:eastAsia="仿宋" w:cs="仿宋"/>
          <w:b/>
          <w:sz w:val="52"/>
          <w:szCs w:val="52"/>
        </w:rPr>
        <w:t>响  应  文  件</w:t>
      </w:r>
    </w:p>
    <w:p>
      <w:pPr>
        <w:pStyle w:val="139"/>
        <w:spacing w:before="46" w:after="46"/>
        <w:ind w:firstLine="0" w:firstLineChars="0"/>
        <w:jc w:val="center"/>
        <w:rPr>
          <w:rFonts w:ascii="仿宋_GB2312" w:hAnsi="仿宋_GB2312" w:cs="仿宋_GB2312"/>
          <w:b/>
          <w:sz w:val="52"/>
          <w:szCs w:val="52"/>
        </w:rPr>
      </w:pPr>
    </w:p>
    <w:p>
      <w:pPr>
        <w:pStyle w:val="139"/>
        <w:spacing w:before="46" w:after="46"/>
        <w:ind w:firstLine="0" w:firstLineChars="0"/>
        <w:jc w:val="center"/>
        <w:rPr>
          <w:rFonts w:ascii="仿宋_GB2312" w:hAnsi="仿宋_GB2312" w:cs="仿宋_GB2312"/>
          <w:sz w:val="32"/>
          <w:szCs w:val="32"/>
        </w:rPr>
      </w:pPr>
      <w:r>
        <w:rPr>
          <w:rFonts w:hint="eastAsia" w:ascii="仿宋_GB2312" w:hAnsi="仿宋_GB2312" w:cs="仿宋_GB2312"/>
          <w:sz w:val="32"/>
          <w:szCs w:val="32"/>
        </w:rPr>
        <w:t>（报价响应文件）</w:t>
      </w:r>
    </w:p>
    <w:p>
      <w:pPr>
        <w:pStyle w:val="139"/>
        <w:spacing w:before="46" w:after="46"/>
        <w:ind w:firstLine="480"/>
        <w:jc w:val="center"/>
        <w:rPr>
          <w:rFonts w:ascii="仿宋_GB2312" w:hAnsi="仿宋_GB2312" w:cs="仿宋_GB2312"/>
          <w:sz w:val="24"/>
        </w:rPr>
      </w:pPr>
    </w:p>
    <w:p>
      <w:pPr>
        <w:pStyle w:val="139"/>
        <w:spacing w:before="46" w:after="46"/>
        <w:ind w:firstLine="2240" w:firstLineChars="800"/>
        <w:rPr>
          <w:rFonts w:ascii="仿宋_GB2312" w:hAnsi="仿宋_GB2312" w:cs="仿宋_GB2312"/>
          <w:szCs w:val="28"/>
          <w:u w:val="single"/>
        </w:rPr>
      </w:pPr>
      <w:r>
        <w:rPr>
          <w:rFonts w:hint="eastAsia" w:ascii="仿宋_GB2312" w:hAnsi="仿宋_GB2312" w:cs="仿宋_GB2312"/>
          <w:szCs w:val="28"/>
        </w:rPr>
        <w:t>项目编号：</w:t>
      </w:r>
      <w:r>
        <w:rPr>
          <w:rFonts w:hint="eastAsia" w:ascii="仿宋_GB2312" w:hAnsi="仿宋_GB2312" w:cs="仿宋_GB2312"/>
          <w:szCs w:val="28"/>
          <w:u w:val="single"/>
        </w:rPr>
        <w:t xml:space="preserve">                           </w:t>
      </w:r>
    </w:p>
    <w:p>
      <w:pPr>
        <w:pStyle w:val="139"/>
        <w:spacing w:before="46" w:after="46"/>
        <w:ind w:firstLine="2240" w:firstLineChars="800"/>
        <w:rPr>
          <w:rFonts w:ascii="仿宋_GB2312" w:hAnsi="仿宋_GB2312" w:cs="仿宋_GB2312"/>
          <w:szCs w:val="28"/>
          <w:u w:val="single"/>
        </w:rPr>
      </w:pPr>
      <w:r>
        <w:rPr>
          <w:rFonts w:hint="eastAsia" w:ascii="仿宋_GB2312" w:hAnsi="仿宋_GB2312" w:cs="仿宋_GB2312"/>
          <w:szCs w:val="28"/>
        </w:rPr>
        <w:t>项目名称：</w:t>
      </w:r>
      <w:r>
        <w:rPr>
          <w:rFonts w:hint="eastAsia" w:ascii="仿宋_GB2312" w:hAnsi="仿宋_GB2312" w:cs="仿宋_GB2312"/>
          <w:szCs w:val="28"/>
          <w:u w:val="single"/>
        </w:rPr>
        <w:t xml:space="preserve">                           </w:t>
      </w:r>
    </w:p>
    <w:p>
      <w:pPr>
        <w:pStyle w:val="139"/>
        <w:spacing w:before="46" w:after="46"/>
        <w:ind w:firstLine="2240" w:firstLineChars="800"/>
        <w:rPr>
          <w:rFonts w:ascii="仿宋_GB2312" w:hAnsi="仿宋_GB2312" w:cs="仿宋_GB2312"/>
          <w:szCs w:val="28"/>
          <w:u w:val="single"/>
        </w:rPr>
      </w:pPr>
      <w:r>
        <w:rPr>
          <w:rFonts w:hint="eastAsia" w:ascii="仿宋_GB2312" w:hAnsi="仿宋_GB2312" w:cs="仿宋_GB2312"/>
          <w:szCs w:val="28"/>
        </w:rPr>
        <w:t>供应商（加盖公章）：</w:t>
      </w:r>
      <w:r>
        <w:rPr>
          <w:rFonts w:hint="eastAsia" w:ascii="仿宋_GB2312" w:hAnsi="仿宋_GB2312" w:cs="仿宋_GB2312"/>
          <w:szCs w:val="28"/>
          <w:u w:val="single"/>
        </w:rPr>
        <w:t xml:space="preserve">                 </w:t>
      </w:r>
    </w:p>
    <w:p>
      <w:pPr>
        <w:pStyle w:val="139"/>
        <w:spacing w:before="46" w:after="46"/>
        <w:ind w:firstLine="2240" w:firstLineChars="800"/>
        <w:rPr>
          <w:rFonts w:ascii="仿宋_GB2312" w:hAnsi="仿宋_GB2312" w:cs="仿宋_GB2312"/>
          <w:szCs w:val="28"/>
          <w:u w:val="single"/>
        </w:rPr>
      </w:pPr>
      <w:r>
        <w:rPr>
          <w:rFonts w:hint="eastAsia" w:ascii="仿宋_GB2312" w:hAnsi="仿宋_GB2312" w:cs="仿宋_GB2312"/>
          <w:szCs w:val="28"/>
        </w:rPr>
        <w:t>法定代表人或其委托代理人签字：</w:t>
      </w:r>
      <w:r>
        <w:rPr>
          <w:rFonts w:hint="eastAsia" w:ascii="仿宋_GB2312" w:hAnsi="仿宋_GB2312" w:cs="仿宋_GB2312"/>
          <w:szCs w:val="28"/>
          <w:u w:val="single"/>
        </w:rPr>
        <w:t xml:space="preserve">       </w:t>
      </w:r>
    </w:p>
    <w:p>
      <w:pPr>
        <w:pStyle w:val="139"/>
        <w:spacing w:before="46" w:after="46"/>
        <w:ind w:firstLine="480"/>
        <w:rPr>
          <w:rFonts w:ascii="仿宋_GB2312" w:hAnsi="仿宋_GB2312" w:cs="仿宋_GB2312"/>
          <w:sz w:val="24"/>
          <w:u w:val="single"/>
        </w:rPr>
      </w:pPr>
    </w:p>
    <w:p>
      <w:pPr>
        <w:pStyle w:val="139"/>
        <w:spacing w:before="46" w:after="46"/>
        <w:ind w:firstLine="480"/>
        <w:rPr>
          <w:rFonts w:ascii="仿宋_GB2312" w:hAnsi="仿宋_GB2312" w:cs="仿宋_GB2312"/>
          <w:sz w:val="24"/>
          <w:u w:val="single"/>
        </w:rPr>
      </w:pPr>
    </w:p>
    <w:p>
      <w:pPr>
        <w:pStyle w:val="139"/>
        <w:spacing w:before="46" w:after="46"/>
        <w:ind w:firstLine="480"/>
        <w:rPr>
          <w:rFonts w:ascii="仿宋_GB2312" w:hAnsi="仿宋_GB2312" w:cs="仿宋_GB2312"/>
          <w:sz w:val="24"/>
          <w:u w:val="single"/>
        </w:rPr>
      </w:pPr>
    </w:p>
    <w:p>
      <w:pPr>
        <w:widowControl/>
        <w:spacing w:line="360" w:lineRule="auto"/>
        <w:ind w:firstLine="240" w:firstLineChars="100"/>
        <w:jc w:val="right"/>
        <w:rPr>
          <w:rFonts w:ascii="仿宋_GB2312" w:hAnsi="仿宋_GB2312" w:eastAsia="仿宋_GB2312" w:cs="仿宋_GB2312"/>
          <w:sz w:val="28"/>
          <w:szCs w:val="28"/>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8"/>
          <w:szCs w:val="28"/>
        </w:rPr>
        <w:t xml:space="preserve">   年     月    日</w:t>
      </w:r>
    </w:p>
    <w:p>
      <w:pPr>
        <w:widowControl/>
        <w:spacing w:line="360" w:lineRule="auto"/>
        <w:ind w:firstLine="240" w:firstLineChars="100"/>
        <w:jc w:val="left"/>
        <w:rPr>
          <w:rFonts w:ascii="仿宋_GB2312" w:hAnsi="仿宋_GB2312" w:eastAsia="仿宋_GB2312" w:cs="仿宋_GB2312"/>
          <w:sz w:val="24"/>
          <w:szCs w:val="24"/>
        </w:rPr>
      </w:pPr>
    </w:p>
    <w:p>
      <w:pPr>
        <w:pStyle w:val="139"/>
        <w:spacing w:before="46" w:after="46"/>
        <w:ind w:firstLine="0" w:firstLineChars="0"/>
        <w:outlineLvl w:val="1"/>
        <w:rPr>
          <w:rFonts w:ascii="仿宋" w:hAnsi="仿宋" w:eastAsia="仿宋" w:cs="仿宋"/>
          <w:b/>
          <w:bCs/>
          <w:sz w:val="24"/>
        </w:rPr>
      </w:pPr>
      <w:r>
        <w:rPr>
          <w:rFonts w:hint="eastAsia" w:ascii="仿宋_GB2312" w:hAnsi="仿宋_GB2312" w:cs="仿宋_GB2312"/>
          <w:b/>
          <w:bCs/>
          <w:sz w:val="24"/>
        </w:rPr>
        <w:br w:type="page"/>
      </w:r>
      <w:bookmarkStart w:id="54" w:name="_Toc13087"/>
      <w:r>
        <w:rPr>
          <w:rFonts w:hint="eastAsia" w:ascii="仿宋" w:hAnsi="仿宋" w:eastAsia="仿宋" w:cs="仿宋"/>
          <w:b/>
          <w:bCs/>
          <w:sz w:val="30"/>
          <w:szCs w:val="30"/>
        </w:rPr>
        <w:t>依法缴纳税收和社会保障资金承诺函</w:t>
      </w:r>
      <w:bookmarkEnd w:id="54"/>
    </w:p>
    <w:p>
      <w:pPr>
        <w:pStyle w:val="139"/>
        <w:spacing w:before="46" w:after="46"/>
        <w:ind w:firstLine="0" w:firstLineChars="0"/>
        <w:rPr>
          <w:rFonts w:ascii="仿宋" w:hAnsi="仿宋" w:eastAsia="仿宋" w:cs="仿宋"/>
          <w:b/>
          <w:bCs/>
          <w:sz w:val="24"/>
        </w:rPr>
      </w:pPr>
    </w:p>
    <w:p>
      <w:pPr>
        <w:widowControl/>
        <w:spacing w:line="360" w:lineRule="auto"/>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依法缴纳税收和社会保障资金承诺函</w:t>
      </w:r>
    </w:p>
    <w:p>
      <w:pPr>
        <w:widowControl/>
        <w:spacing w:line="360" w:lineRule="auto"/>
        <w:jc w:val="center"/>
        <w:rPr>
          <w:rFonts w:ascii="仿宋_GB2312" w:hAnsi="仿宋_GB2312" w:eastAsia="仿宋_GB2312" w:cs="仿宋_GB2312"/>
          <w:b/>
          <w:bCs/>
          <w:kern w:val="0"/>
          <w:sz w:val="24"/>
          <w:szCs w:val="24"/>
        </w:rPr>
      </w:pPr>
    </w:p>
    <w:p>
      <w:pPr>
        <w:pStyle w:val="139"/>
        <w:spacing w:before="46" w:after="312" w:afterLines="100"/>
        <w:ind w:firstLine="0" w:firstLineChars="0"/>
        <w:rPr>
          <w:rFonts w:ascii="仿宋_GB2312" w:hAnsi="仿宋_GB2312" w:cs="仿宋_GB2312"/>
          <w:sz w:val="24"/>
        </w:rPr>
      </w:pPr>
      <w:r>
        <w:rPr>
          <w:rFonts w:hint="eastAsia" w:ascii="仿宋_GB2312" w:hAnsi="仿宋_GB2312" w:cs="仿宋_GB2312"/>
          <w:sz w:val="24"/>
        </w:rPr>
        <w:t>致：</w:t>
      </w:r>
      <w:r>
        <w:rPr>
          <w:rFonts w:hint="eastAsia" w:ascii="仿宋_GB2312" w:hAnsi="仿宋_GB2312" w:cs="仿宋_GB2312"/>
          <w:sz w:val="24"/>
          <w:u w:val="single"/>
        </w:rPr>
        <w:t xml:space="preserve"> 绵阳市中医医院 </w:t>
      </w:r>
    </w:p>
    <w:p>
      <w:pPr>
        <w:pStyle w:val="22"/>
        <w:spacing w:line="360" w:lineRule="auto"/>
        <w:ind w:firstLine="12" w:firstLineChars="5"/>
        <w:rPr>
          <w:rFonts w:ascii="仿宋_GB2312" w:hAnsi="仿宋_GB2312" w:eastAsia="仿宋_GB2312" w:cs="仿宋_GB2312"/>
        </w:rPr>
      </w:pPr>
      <w:r>
        <w:rPr>
          <w:rFonts w:hint="eastAsia" w:ascii="仿宋_GB2312" w:hAnsi="仿宋_GB2312" w:eastAsia="仿宋_GB2312" w:cs="仿宋_GB2312"/>
        </w:rPr>
        <w:t xml:space="preserve">     我单位现参与</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项目（项目编号：</w:t>
      </w:r>
      <w:r>
        <w:rPr>
          <w:rFonts w:hint="eastAsia" w:ascii="仿宋_GB2312" w:hAnsi="仿宋_GB2312" w:eastAsia="仿宋_GB2312" w:cs="仿宋_GB2312"/>
          <w:u w:val="single"/>
        </w:rPr>
        <w:t xml:space="preserve">         </w:t>
      </w:r>
      <w:r>
        <w:rPr>
          <w:rFonts w:hint="eastAsia" w:ascii="仿宋_GB2312" w:hAnsi="仿宋_GB2312" w:eastAsia="仿宋_GB2312" w:cs="仿宋_GB2312"/>
        </w:rPr>
        <w:t xml:space="preserve"> ），并作出如下承诺：</w:t>
      </w:r>
    </w:p>
    <w:p>
      <w:pPr>
        <w:pStyle w:val="22"/>
        <w:spacing w:line="360" w:lineRule="auto"/>
        <w:rPr>
          <w:rFonts w:ascii="仿宋_GB2312" w:hAnsi="仿宋_GB2312" w:eastAsia="仿宋_GB2312" w:cs="仿宋_GB2312"/>
        </w:rPr>
      </w:pPr>
      <w:r>
        <w:rPr>
          <w:rFonts w:hint="eastAsia" w:ascii="仿宋_GB2312" w:hAnsi="仿宋_GB2312" w:eastAsia="仿宋_GB2312" w:cs="仿宋_GB2312"/>
        </w:rPr>
        <w:t xml:space="preserve">     我单位依法缴纳税收和员工社会保险，随时接受采购人的检查验证。如违反上述承诺，我单位将按照《中华人民共和国政府采购法》、《中华人民共和国政府采购法实施条例》相关规定接受处罚，并通过媒体予以公布。</w:t>
      </w:r>
    </w:p>
    <w:p>
      <w:pPr>
        <w:pStyle w:val="22"/>
        <w:spacing w:line="360" w:lineRule="auto"/>
        <w:rPr>
          <w:rFonts w:ascii="仿宋_GB2312" w:hAnsi="仿宋_GB2312" w:eastAsia="仿宋_GB2312" w:cs="仿宋_GB2312"/>
        </w:rPr>
      </w:pPr>
      <w:r>
        <w:rPr>
          <w:rFonts w:hint="eastAsia" w:ascii="仿宋_GB2312" w:hAnsi="仿宋_GB2312" w:eastAsia="仿宋_GB2312" w:cs="仿宋_GB2312"/>
        </w:rPr>
        <w:t xml:space="preserve">     特此承诺。</w:t>
      </w:r>
    </w:p>
    <w:p>
      <w:pPr>
        <w:pStyle w:val="22"/>
        <w:spacing w:line="360" w:lineRule="auto"/>
        <w:rPr>
          <w:rFonts w:ascii="仿宋_GB2312" w:hAnsi="仿宋_GB2312" w:eastAsia="仿宋_GB2312" w:cs="仿宋_GB2312"/>
        </w:rPr>
      </w:pPr>
    </w:p>
    <w:p>
      <w:pPr>
        <w:adjustRightInd w:val="0"/>
        <w:spacing w:line="360" w:lineRule="auto"/>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供应商名称（加盖公章）：XXX</w:t>
      </w:r>
    </w:p>
    <w:p>
      <w:pPr>
        <w:pStyle w:val="139"/>
        <w:spacing w:before="46" w:after="46"/>
        <w:ind w:firstLine="638" w:firstLineChars="266"/>
        <w:rPr>
          <w:rFonts w:ascii="仿宋_GB2312" w:hAnsi="仿宋_GB2312" w:cs="仿宋_GB2312"/>
          <w:sz w:val="24"/>
        </w:rPr>
      </w:pPr>
      <w:r>
        <w:rPr>
          <w:rFonts w:hint="eastAsia" w:ascii="仿宋_GB2312" w:hAnsi="仿宋_GB2312" w:cs="仿宋_GB2312"/>
          <w:bCs/>
          <w:sz w:val="24"/>
        </w:rPr>
        <w:t>法定代表人或授权代表（签字）</w:t>
      </w:r>
      <w:r>
        <w:rPr>
          <w:rFonts w:hint="eastAsia" w:ascii="仿宋_GB2312" w:hAnsi="仿宋_GB2312" w:cs="仿宋_GB2312"/>
          <w:sz w:val="24"/>
        </w:rPr>
        <w:t>：</w:t>
      </w:r>
    </w:p>
    <w:p>
      <w:pPr>
        <w:pStyle w:val="139"/>
        <w:spacing w:before="46" w:after="46"/>
        <w:ind w:firstLine="480"/>
        <w:rPr>
          <w:rFonts w:ascii="仿宋_GB2312" w:hAnsi="仿宋_GB2312" w:cs="仿宋_GB2312"/>
          <w:sz w:val="24"/>
        </w:rPr>
        <w:sectPr>
          <w:footerReference r:id="rId9" w:type="default"/>
          <w:pgSz w:w="11850" w:h="16783"/>
          <w:pgMar w:top="1417" w:right="1134" w:bottom="1417" w:left="1134" w:header="851" w:footer="992" w:gutter="0"/>
          <w:cols w:space="720" w:num="1"/>
          <w:docGrid w:type="lines" w:linePitch="312" w:charSpace="0"/>
        </w:sectPr>
      </w:pPr>
      <w:r>
        <w:rPr>
          <w:rFonts w:hint="eastAsia" w:ascii="仿宋_GB2312" w:hAnsi="仿宋_GB2312" w:cs="仿宋_GB2312"/>
          <w:sz w:val="24"/>
        </w:rPr>
        <w:t xml:space="preserve"> 日    期：</w:t>
      </w:r>
    </w:p>
    <w:p>
      <w:pPr>
        <w:pStyle w:val="3"/>
        <w:spacing w:line="360" w:lineRule="auto"/>
        <w:rPr>
          <w:rFonts w:ascii="仿宋" w:hAnsi="仿宋" w:eastAsia="仿宋" w:cs="仿宋"/>
          <w:sz w:val="30"/>
          <w:szCs w:val="30"/>
        </w:rPr>
      </w:pPr>
      <w:bookmarkStart w:id="55" w:name="_Toc19172"/>
      <w:r>
        <w:rPr>
          <w:rFonts w:hint="eastAsia" w:ascii="仿宋" w:hAnsi="仿宋" w:eastAsia="仿宋" w:cs="仿宋"/>
          <w:sz w:val="30"/>
          <w:szCs w:val="30"/>
        </w:rPr>
        <w:t>供应商诚信情况承诺函</w:t>
      </w:r>
      <w:bookmarkEnd w:id="55"/>
    </w:p>
    <w:p>
      <w:pPr>
        <w:spacing w:line="360" w:lineRule="auto"/>
        <w:jc w:val="center"/>
        <w:rPr>
          <w:rFonts w:ascii="仿宋" w:hAnsi="仿宋" w:eastAsia="仿宋" w:cs="仿宋"/>
          <w:sz w:val="24"/>
          <w:szCs w:val="24"/>
        </w:rPr>
      </w:pPr>
      <w:r>
        <w:rPr>
          <w:rFonts w:hint="eastAsia" w:ascii="仿宋" w:hAnsi="仿宋" w:eastAsia="仿宋" w:cs="仿宋"/>
          <w:b/>
          <w:bCs/>
          <w:sz w:val="28"/>
          <w:szCs w:val="28"/>
        </w:rPr>
        <w:t>供应商诚信情况承诺函</w:t>
      </w:r>
    </w:p>
    <w:p>
      <w:pPr>
        <w:spacing w:line="360" w:lineRule="auto"/>
        <w:rPr>
          <w:rFonts w:ascii="仿宋" w:hAnsi="仿宋" w:eastAsia="仿宋" w:cs="仿宋"/>
          <w:sz w:val="24"/>
          <w:szCs w:val="24"/>
        </w:rPr>
      </w:pP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致绵阳市中医医院：</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本单位</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（供应商名称）参加</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（项目名称及采购编号）的政府采购活动，现根据《四川省政府采购当事人诚信管理办法》川财采〔2015〕33号的相关规定，针对本单位的诚信情况作出以下承诺：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我单位具有《四川省政府采购当事人诚信管理办法》（川财采[2015]33号）所规定的失信行为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次（填写失信行为的次数时，建议使用大写数字，如零、壹、贰、叁、肆等。）；（仅限递交响应文件截止当日仍在有效期的次数）</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我单位对以上填写信息的真实性负责。如有不实，本单位愿承担由此产生的一切法律责任和后果。</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供应商名称（加盖公章）：XXXX</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法定代表人或授权代表（签字）：XXXX。</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日    期: </w:t>
      </w:r>
    </w:p>
    <w:p>
      <w:pPr>
        <w:spacing w:line="360" w:lineRule="auto"/>
        <w:rPr>
          <w:rFonts w:ascii="仿宋_GB2312" w:hAnsi="仿宋_GB2312" w:eastAsia="仿宋_GB2312" w:cs="仿宋_GB2312"/>
          <w:sz w:val="24"/>
          <w:szCs w:val="24"/>
        </w:rPr>
      </w:pPr>
    </w:p>
    <w:p>
      <w:pPr>
        <w:spacing w:line="360" w:lineRule="auto"/>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注：</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1、本表格式及内容仅供参考，供应商也可提供自己的格式；</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2、供应商存在以上所述失信行为的，将按照第二章磋商须知附表的要求进行处理；</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spacing w:line="360" w:lineRule="auto"/>
        <w:rPr>
          <w:rFonts w:ascii="仿宋_GB2312" w:hAnsi="仿宋_GB2312" w:eastAsia="仿宋_GB2312" w:cs="仿宋_GB2312"/>
          <w:sz w:val="24"/>
          <w:szCs w:val="24"/>
        </w:rPr>
      </w:pPr>
      <w:r>
        <w:rPr>
          <w:rFonts w:hint="eastAsia" w:ascii="仿宋_GB2312" w:hAnsi="仿宋_GB2312" w:eastAsia="仿宋_GB2312" w:cs="仿宋_GB2312"/>
          <w:sz w:val="24"/>
          <w:szCs w:val="24"/>
        </w:rPr>
        <w:t>4、供应商的失信行为受到行政处罚或司法惩处的，</w:t>
      </w:r>
      <w:r>
        <w:rPr>
          <w:rFonts w:hint="eastAsia" w:ascii="仿宋" w:hAnsi="仿宋" w:eastAsia="仿宋" w:cs="仿宋"/>
          <w:sz w:val="24"/>
          <w:szCs w:val="24"/>
        </w:rPr>
        <w:t>评审时不再对其以其它形式进行</w:t>
      </w:r>
      <w:r>
        <w:rPr>
          <w:rFonts w:hint="eastAsia" w:ascii="仿宋_GB2312" w:hAnsi="仿宋_GB2312" w:eastAsia="仿宋_GB2312" w:cs="仿宋_GB2312"/>
          <w:sz w:val="24"/>
          <w:szCs w:val="24"/>
        </w:rPr>
        <w:t>惩戒。</w:t>
      </w:r>
    </w:p>
    <w:p>
      <w:pPr>
        <w:spacing w:line="360" w:lineRule="auto"/>
        <w:rPr>
          <w:rFonts w:ascii="仿宋_GB2312" w:hAnsi="仿宋_GB2312" w:eastAsia="仿宋_GB2312" w:cs="仿宋_GB2312"/>
          <w:sz w:val="24"/>
          <w:szCs w:val="24"/>
        </w:rPr>
      </w:pPr>
    </w:p>
    <w:p>
      <w:pPr>
        <w:pStyle w:val="10"/>
        <w:rPr>
          <w:rFonts w:ascii="仿宋_GB2312" w:hAnsi="仿宋_GB2312" w:eastAsia="仿宋_GB2312" w:cs="仿宋_GB2312"/>
          <w:sz w:val="24"/>
          <w:szCs w:val="24"/>
        </w:rPr>
      </w:pPr>
    </w:p>
    <w:p>
      <w:pPr>
        <w:pStyle w:val="10"/>
        <w:rPr>
          <w:rFonts w:ascii="仿宋_GB2312" w:hAnsi="仿宋_GB2312" w:eastAsia="仿宋_GB2312" w:cs="仿宋_GB2312"/>
          <w:sz w:val="24"/>
          <w:szCs w:val="24"/>
        </w:rPr>
      </w:pPr>
    </w:p>
    <w:p>
      <w:pPr>
        <w:pStyle w:val="10"/>
        <w:rPr>
          <w:rFonts w:ascii="仿宋_GB2312" w:hAnsi="仿宋_GB2312" w:eastAsia="仿宋_GB2312" w:cs="仿宋_GB2312"/>
          <w:sz w:val="24"/>
          <w:szCs w:val="24"/>
        </w:rPr>
      </w:pPr>
    </w:p>
    <w:p>
      <w:pPr>
        <w:pStyle w:val="10"/>
        <w:rPr>
          <w:rFonts w:ascii="仿宋_GB2312" w:hAnsi="仿宋_GB2312" w:eastAsia="仿宋_GB2312" w:cs="仿宋_GB2312"/>
          <w:sz w:val="24"/>
          <w:szCs w:val="24"/>
        </w:rPr>
      </w:pPr>
    </w:p>
    <w:p>
      <w:pPr>
        <w:pStyle w:val="10"/>
        <w:rPr>
          <w:rFonts w:ascii="仿宋_GB2312" w:hAnsi="仿宋_GB2312" w:eastAsia="仿宋_GB2312" w:cs="仿宋_GB2312"/>
          <w:sz w:val="24"/>
          <w:szCs w:val="24"/>
        </w:rPr>
      </w:pPr>
    </w:p>
    <w:p>
      <w:pPr>
        <w:pStyle w:val="139"/>
        <w:spacing w:before="46" w:after="46"/>
        <w:ind w:firstLine="0" w:firstLineChars="0"/>
        <w:outlineLvl w:val="1"/>
        <w:rPr>
          <w:rFonts w:ascii="仿宋_GB2312" w:hAnsi="仿宋_GB2312" w:cs="仿宋_GB2312"/>
          <w:b/>
          <w:bCs/>
          <w:sz w:val="30"/>
          <w:szCs w:val="30"/>
        </w:rPr>
      </w:pPr>
      <w:bookmarkStart w:id="56" w:name="_Toc26488"/>
      <w:bookmarkStart w:id="57" w:name="_Toc9756"/>
      <w:r>
        <w:rPr>
          <w:rFonts w:hint="eastAsia" w:ascii="仿宋_GB2312" w:hAnsi="仿宋_GB2312" w:cs="仿宋_GB2312"/>
          <w:b/>
          <w:bCs/>
          <w:sz w:val="30"/>
          <w:szCs w:val="30"/>
        </w:rPr>
        <w:t>无行贿犯罪记录承诺函</w:t>
      </w:r>
      <w:bookmarkEnd w:id="56"/>
      <w:bookmarkEnd w:id="57"/>
    </w:p>
    <w:p>
      <w:pPr>
        <w:pStyle w:val="139"/>
        <w:spacing w:before="46" w:after="46"/>
        <w:ind w:firstLine="0" w:firstLineChars="0"/>
        <w:rPr>
          <w:rFonts w:ascii="仿宋_GB2312" w:hAnsi="仿宋_GB2312" w:cs="仿宋_GB2312"/>
          <w:b/>
          <w:bCs/>
          <w:sz w:val="24"/>
        </w:rPr>
      </w:pP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无行贿犯罪记录承诺函</w:t>
      </w:r>
    </w:p>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（仅供参考）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致： 绵阳市中医医院 </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我单位现参与</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项目（项目编号：          ），并作出如下承诺：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我单位及其现任法定代表人、主要负责人在参加政府采购活动前三年内无行贿犯罪记录，如违反上述承诺，我单位将按照《中华人民共和国政府采购法》、《中华人民共和国政府采购法实施条例》相关规定接受处罚，并通过媒体予以公布。</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特此承诺。</w:t>
      </w:r>
    </w:p>
    <w:p>
      <w:pPr>
        <w:spacing w:line="360" w:lineRule="auto"/>
        <w:ind w:firstLine="480" w:firstLineChars="200"/>
        <w:rPr>
          <w:rFonts w:ascii="仿宋_GB2312" w:hAnsi="仿宋_GB2312" w:eastAsia="仿宋_GB2312" w:cs="仿宋_GB2312"/>
          <w:sz w:val="24"/>
          <w:szCs w:val="24"/>
        </w:rPr>
      </w:pPr>
    </w:p>
    <w:p>
      <w:pPr>
        <w:pStyle w:val="10"/>
      </w:pP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供应商名称（加盖公章）：XXXX</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法定代表人或授权代表（签字）：</w:t>
      </w:r>
    </w:p>
    <w:p>
      <w:pPr>
        <w:spacing w:line="360" w:lineRule="auto"/>
        <w:ind w:firstLine="480" w:firstLineChars="200"/>
        <w:rPr>
          <w:rFonts w:ascii="仿宋_GB2312" w:hAnsi="仿宋_GB2312" w:eastAsia="仿宋_GB2312" w:cs="仿宋_GB2312"/>
          <w:sz w:val="24"/>
          <w:szCs w:val="24"/>
        </w:rPr>
        <w:sectPr>
          <w:pgSz w:w="11850" w:h="16783"/>
          <w:pgMar w:top="1417" w:right="1134" w:bottom="1417" w:left="1134" w:header="851" w:footer="992" w:gutter="0"/>
          <w:cols w:space="720" w:num="1"/>
          <w:docGrid w:type="lines" w:linePitch="312" w:charSpace="0"/>
        </w:sectPr>
      </w:pPr>
      <w:r>
        <w:rPr>
          <w:rFonts w:hint="eastAsia" w:ascii="仿宋_GB2312" w:hAnsi="仿宋_GB2312" w:eastAsia="仿宋_GB2312" w:cs="仿宋_GB2312"/>
          <w:sz w:val="24"/>
          <w:szCs w:val="24"/>
        </w:rPr>
        <w:t xml:space="preserve"> 日    期：</w:t>
      </w:r>
    </w:p>
    <w:p>
      <w:pPr>
        <w:pStyle w:val="3"/>
        <w:spacing w:line="415" w:lineRule="auto"/>
        <w:rPr>
          <w:rFonts w:ascii="宋体" w:hAnsi="宋体" w:eastAsia="宋体"/>
          <w:color w:val="000000"/>
          <w:sz w:val="32"/>
          <w:szCs w:val="32"/>
        </w:rPr>
      </w:pPr>
      <w:r>
        <w:rPr>
          <w:rFonts w:hint="eastAsia" w:ascii="宋体" w:hAnsi="宋体" w:eastAsia="宋体"/>
          <w:color w:val="000000"/>
          <w:sz w:val="32"/>
          <w:szCs w:val="32"/>
        </w:rPr>
        <w:t>第五章  评分办法</w:t>
      </w:r>
      <w:bookmarkEnd w:id="39"/>
      <w:bookmarkEnd w:id="40"/>
    </w:p>
    <w:p>
      <w:pPr>
        <w:pStyle w:val="2"/>
        <w:spacing w:line="400" w:lineRule="exact"/>
        <w:ind w:firstLine="480" w:firstLineChars="200"/>
        <w:jc w:val="both"/>
        <w:rPr>
          <w:rFonts w:ascii="宋体" w:hAnsi="宋体" w:eastAsia="宋体"/>
          <w:bCs/>
          <w:color w:val="000000"/>
          <w:szCs w:val="32"/>
        </w:rPr>
      </w:pPr>
      <w:bookmarkStart w:id="58" w:name="_Toc398543640"/>
      <w:bookmarkStart w:id="59" w:name="_Toc408391196"/>
      <w:bookmarkStart w:id="60" w:name="_Toc410298054"/>
      <w:bookmarkStart w:id="61" w:name="_Toc398544311"/>
      <w:bookmarkStart w:id="62" w:name="_Toc414449939"/>
      <w:bookmarkStart w:id="63" w:name="_Toc409689478"/>
      <w:bookmarkStart w:id="64" w:name="_Toc217446099"/>
      <w:r>
        <w:rPr>
          <w:rFonts w:hint="eastAsia" w:ascii="宋体" w:hAnsi="宋体" w:eastAsia="宋体"/>
          <w:color w:val="000000"/>
          <w:sz w:val="24"/>
          <w:szCs w:val="24"/>
        </w:rPr>
        <w:t>1. 总则</w:t>
      </w:r>
      <w:bookmarkEnd w:id="58"/>
      <w:bookmarkEnd w:id="59"/>
      <w:bookmarkEnd w:id="60"/>
      <w:bookmarkEnd w:id="61"/>
      <w:bookmarkEnd w:id="62"/>
      <w:bookmarkEnd w:id="63"/>
    </w:p>
    <w:p>
      <w:pPr>
        <w:spacing w:line="400" w:lineRule="exact"/>
        <w:ind w:firstLine="480" w:firstLineChars="200"/>
        <w:rPr>
          <w:rFonts w:ascii="宋体" w:hAnsi="宋体"/>
          <w:color w:val="000000"/>
          <w:sz w:val="24"/>
        </w:rPr>
      </w:pPr>
      <w:r>
        <w:rPr>
          <w:rFonts w:hint="eastAsia" w:ascii="宋体" w:hAnsi="宋体"/>
          <w:color w:val="000000"/>
          <w:sz w:val="24"/>
        </w:rPr>
        <w:t>1.1 根据《政府采购竞争性磋商采购方式管理暂行办法》（财库〔2014〕214号）等招投标法律规章，结合采购项目特点制定本评标办法。</w:t>
      </w:r>
    </w:p>
    <w:p>
      <w:pPr>
        <w:spacing w:line="400" w:lineRule="exact"/>
        <w:ind w:firstLine="480" w:firstLineChars="200"/>
        <w:rPr>
          <w:rFonts w:ascii="宋体" w:hAnsi="宋体"/>
          <w:color w:val="000000"/>
          <w:sz w:val="24"/>
        </w:rPr>
      </w:pPr>
      <w:r>
        <w:rPr>
          <w:rFonts w:hint="eastAsia" w:ascii="宋体" w:hAnsi="宋体"/>
          <w:color w:val="000000"/>
          <w:sz w:val="24"/>
        </w:rPr>
        <w:t xml:space="preserve">1.2 </w:t>
      </w:r>
      <w:r>
        <w:rPr>
          <w:rFonts w:hint="eastAsia" w:ascii="宋体" w:hAnsi="宋体"/>
          <w:bCs/>
          <w:color w:val="000000"/>
          <w:sz w:val="24"/>
        </w:rPr>
        <w:t>评标工作由采购办负责组织，具体评标事务由采购办依法组建的评标委员会负责。评标委员会由医院指定相关专家组成。</w:t>
      </w:r>
    </w:p>
    <w:p>
      <w:pPr>
        <w:spacing w:line="400" w:lineRule="exact"/>
        <w:ind w:firstLine="480" w:firstLineChars="200"/>
        <w:rPr>
          <w:rFonts w:ascii="宋体" w:hAnsi="宋体"/>
          <w:color w:val="000000"/>
          <w:sz w:val="24"/>
        </w:rPr>
      </w:pPr>
      <w:r>
        <w:rPr>
          <w:rFonts w:hint="eastAsia" w:ascii="宋体" w:hAnsi="宋体"/>
          <w:color w:val="000000"/>
          <w:sz w:val="24"/>
        </w:rPr>
        <w:t>1.3 评标工作应遵循公平、公正、科学及择优的原则，并以相同的评标程序和标准对待所有的投标人。</w:t>
      </w:r>
    </w:p>
    <w:p>
      <w:pPr>
        <w:spacing w:line="400" w:lineRule="exact"/>
        <w:ind w:firstLine="480" w:firstLineChars="200"/>
        <w:rPr>
          <w:rFonts w:ascii="宋体" w:hAnsi="宋体"/>
          <w:color w:val="000000"/>
          <w:sz w:val="24"/>
        </w:rPr>
      </w:pPr>
      <w:r>
        <w:rPr>
          <w:rFonts w:hint="eastAsia" w:ascii="宋体" w:hAnsi="宋体"/>
          <w:color w:val="000000"/>
          <w:sz w:val="24"/>
        </w:rPr>
        <w:t>1.4 评标委员会按照招标文件规定的评标方法和标准进行评标，并独立履行下列职责：</w:t>
      </w:r>
    </w:p>
    <w:p>
      <w:pPr>
        <w:spacing w:line="400" w:lineRule="exact"/>
        <w:ind w:firstLine="480"/>
        <w:rPr>
          <w:rFonts w:ascii="宋体" w:hAnsi="宋体"/>
          <w:color w:val="000000"/>
          <w:sz w:val="24"/>
        </w:rPr>
      </w:pPr>
      <w:r>
        <w:rPr>
          <w:rFonts w:hint="eastAsia" w:ascii="宋体" w:hAnsi="宋体"/>
          <w:color w:val="000000"/>
          <w:sz w:val="24"/>
        </w:rPr>
        <w:t>（1）审查投标文件是否符合招标文件要求，并作出评价；</w:t>
      </w:r>
    </w:p>
    <w:p>
      <w:pPr>
        <w:spacing w:line="400" w:lineRule="exact"/>
        <w:ind w:firstLine="480"/>
        <w:rPr>
          <w:rFonts w:ascii="宋体" w:hAnsi="宋体"/>
          <w:color w:val="000000"/>
          <w:sz w:val="24"/>
        </w:rPr>
      </w:pPr>
      <w:r>
        <w:rPr>
          <w:rFonts w:hint="eastAsia" w:ascii="宋体" w:hAnsi="宋体"/>
          <w:color w:val="000000"/>
          <w:sz w:val="24"/>
        </w:rPr>
        <w:t>（2）要求投标供应商对投标文件有关事项作出解释或者澄清；</w:t>
      </w:r>
    </w:p>
    <w:p>
      <w:pPr>
        <w:spacing w:line="400" w:lineRule="exact"/>
        <w:ind w:firstLine="480"/>
        <w:rPr>
          <w:rFonts w:ascii="宋体" w:hAnsi="宋体"/>
          <w:color w:val="000000"/>
          <w:sz w:val="24"/>
        </w:rPr>
      </w:pPr>
      <w:r>
        <w:rPr>
          <w:rFonts w:hint="eastAsia" w:ascii="宋体" w:hAnsi="宋体"/>
          <w:color w:val="000000"/>
          <w:sz w:val="24"/>
        </w:rPr>
        <w:t>（3）按照事先确定的办法直接确定中标供应商；</w:t>
      </w:r>
    </w:p>
    <w:p>
      <w:pPr>
        <w:spacing w:line="400" w:lineRule="exact"/>
        <w:ind w:firstLine="480"/>
        <w:rPr>
          <w:rFonts w:ascii="宋体" w:hAnsi="宋体"/>
          <w:color w:val="000000"/>
          <w:sz w:val="24"/>
        </w:rPr>
      </w:pPr>
      <w:r>
        <w:rPr>
          <w:rFonts w:hint="eastAsia" w:ascii="宋体" w:hAnsi="宋体"/>
          <w:color w:val="000000"/>
          <w:sz w:val="24"/>
        </w:rPr>
        <w:t>（4）向纪检监审科或者有关部门报告非法干预评标工作的行为。</w:t>
      </w:r>
      <w:bookmarkStart w:id="65" w:name="_Toc217446098"/>
    </w:p>
    <w:p>
      <w:pPr>
        <w:spacing w:line="400" w:lineRule="exact"/>
        <w:ind w:firstLine="480" w:firstLineChars="200"/>
        <w:rPr>
          <w:rFonts w:ascii="宋体" w:hAnsi="宋体"/>
          <w:color w:val="000000"/>
          <w:sz w:val="24"/>
        </w:rPr>
      </w:pPr>
      <w:r>
        <w:rPr>
          <w:rFonts w:hint="eastAsia" w:ascii="宋体" w:hAnsi="宋体"/>
          <w:color w:val="000000"/>
          <w:sz w:val="24"/>
        </w:rPr>
        <w:t>1.5 评标过程严格保密。投标人对评委会的评标过程或合同授予决定施加影响的任何行为都可能导致其投标被拒绝。</w:t>
      </w:r>
    </w:p>
    <w:p>
      <w:pPr>
        <w:spacing w:line="400" w:lineRule="exact"/>
        <w:ind w:firstLine="480" w:firstLineChars="200"/>
        <w:rPr>
          <w:rFonts w:ascii="宋体" w:hAnsi="宋体"/>
          <w:color w:val="000000"/>
          <w:sz w:val="24"/>
        </w:rPr>
      </w:pPr>
      <w:r>
        <w:rPr>
          <w:rFonts w:hint="eastAsia" w:ascii="宋体" w:hAnsi="宋体"/>
          <w:color w:val="000000"/>
          <w:sz w:val="24"/>
        </w:rPr>
        <w:t>1.6评委会发现招标文件表述不明确或需要说明的事项，可提请招标采购单位书面解释说明。发现招标文件违反有关法律、法规和规章的，可以拒绝评标，并向招标采购单位书面说明情况。</w:t>
      </w:r>
    </w:p>
    <w:p>
      <w:pPr>
        <w:pStyle w:val="2"/>
        <w:spacing w:line="400" w:lineRule="exact"/>
        <w:ind w:firstLine="480" w:firstLineChars="200"/>
        <w:jc w:val="both"/>
        <w:rPr>
          <w:rFonts w:ascii="宋体" w:hAnsi="宋体" w:eastAsia="宋体"/>
          <w:sz w:val="24"/>
          <w:szCs w:val="24"/>
        </w:rPr>
      </w:pPr>
      <w:bookmarkStart w:id="66" w:name="_Toc414449941"/>
      <w:r>
        <w:rPr>
          <w:rFonts w:hint="eastAsia" w:ascii="宋体" w:hAnsi="宋体" w:eastAsia="宋体"/>
          <w:sz w:val="24"/>
          <w:szCs w:val="24"/>
        </w:rPr>
        <w:t>3.评标方法：综合评分法。</w:t>
      </w:r>
      <w:bookmarkEnd w:id="66"/>
    </w:p>
    <w:p>
      <w:pPr>
        <w:spacing w:line="400" w:lineRule="exact"/>
        <w:ind w:firstLine="480" w:firstLineChars="200"/>
        <w:rPr>
          <w:rFonts w:ascii="宋体" w:hAnsi="宋体"/>
          <w:color w:val="000000"/>
          <w:sz w:val="24"/>
        </w:rPr>
      </w:pPr>
      <w:r>
        <w:rPr>
          <w:rFonts w:hint="eastAsia" w:ascii="宋体" w:hAnsi="宋体"/>
          <w:color w:val="000000"/>
          <w:sz w:val="24"/>
        </w:rPr>
        <w:t>3.1综合评分法，是指响应文件满足磋商文件全部实质性要求且按评审因素的量化指标评审得分最高的供应商为成交候选供应商的评审方法。</w:t>
      </w:r>
    </w:p>
    <w:bookmarkEnd w:id="65"/>
    <w:p>
      <w:pPr>
        <w:spacing w:line="400" w:lineRule="exact"/>
        <w:ind w:firstLine="480" w:firstLineChars="200"/>
        <w:rPr>
          <w:rFonts w:ascii="宋体" w:hAnsi="宋体"/>
          <w:color w:val="000000"/>
          <w:sz w:val="24"/>
        </w:rPr>
      </w:pPr>
      <w:r>
        <w:rPr>
          <w:rFonts w:hint="eastAsia" w:ascii="宋体" w:hAnsi="宋体"/>
          <w:color w:val="000000"/>
          <w:sz w:val="24"/>
        </w:rPr>
        <w:t>3.2经磋商确定最终采购需求和提交最后报价的供应商后，由磋商小组采用综合评分法对提交最后报价的供应商的响应文件和最后报价进行综合评分。</w:t>
      </w:r>
    </w:p>
    <w:p>
      <w:pPr>
        <w:spacing w:line="400" w:lineRule="exact"/>
        <w:ind w:firstLine="480" w:firstLineChars="200"/>
        <w:rPr>
          <w:rFonts w:ascii="宋体" w:hAnsi="宋体"/>
          <w:color w:val="000000"/>
          <w:sz w:val="24"/>
        </w:rPr>
      </w:pPr>
      <w:r>
        <w:rPr>
          <w:rFonts w:hint="eastAsia" w:ascii="宋体" w:hAnsi="宋体"/>
          <w:color w:val="000000"/>
          <w:sz w:val="24"/>
        </w:rPr>
        <w:t>3.3磋商文件中没有规定的评审标准不得作为评审依据。</w:t>
      </w:r>
    </w:p>
    <w:p>
      <w:pPr>
        <w:spacing w:line="400" w:lineRule="exact"/>
        <w:ind w:firstLine="480" w:firstLineChars="200"/>
        <w:rPr>
          <w:rFonts w:ascii="宋体" w:hAnsi="宋体"/>
          <w:color w:val="000000"/>
          <w:sz w:val="24"/>
        </w:rPr>
      </w:pPr>
      <w:r>
        <w:rPr>
          <w:rFonts w:hint="eastAsia" w:ascii="宋体" w:hAnsi="宋体"/>
          <w:color w:val="000000"/>
          <w:sz w:val="24"/>
        </w:rPr>
        <w:t>3.4评审时，磋商小组各成员应当独立对每个有效响应的文件进行评价、打分，然后汇总每个供应商每项评分因素的得分。</w:t>
      </w:r>
    </w:p>
    <w:p>
      <w:pPr>
        <w:pStyle w:val="11"/>
        <w:tabs>
          <w:tab w:val="left" w:pos="600"/>
        </w:tabs>
        <w:spacing w:line="400" w:lineRule="exact"/>
        <w:ind w:firstLine="480" w:firstLineChars="200"/>
        <w:rPr>
          <w:rFonts w:ascii="宋体" w:hAnsi="宋体"/>
          <w:b w:val="0"/>
          <w:color w:val="000000"/>
          <w:sz w:val="24"/>
        </w:rPr>
      </w:pPr>
      <w:r>
        <w:rPr>
          <w:rFonts w:hint="eastAsia" w:ascii="宋体" w:hAnsi="宋体"/>
          <w:b w:val="0"/>
          <w:color w:val="000000"/>
          <w:sz w:val="24"/>
        </w:rPr>
        <w:t>3.5在响应文件初审过程中，如果出现磋商小组成员意见不一致的情况，按照少数服从多数的原则确定，但不得违背政府采购基本原则和招标文件规定。</w:t>
      </w:r>
    </w:p>
    <w:p>
      <w:pPr>
        <w:spacing w:line="400" w:lineRule="exact"/>
        <w:ind w:firstLine="480"/>
        <w:rPr>
          <w:rFonts w:ascii="宋体" w:hAnsi="宋体"/>
          <w:color w:val="000000"/>
          <w:sz w:val="24"/>
        </w:rPr>
      </w:pPr>
      <w:r>
        <w:rPr>
          <w:rFonts w:hint="eastAsia" w:ascii="宋体" w:hAnsi="宋体"/>
          <w:color w:val="000000"/>
          <w:sz w:val="24"/>
        </w:rPr>
        <w:t>3.6编写评审报告。评审报告是磋商小组根据全体磋商成员签字的原始磋商记录和评标结果编写的报告，其主要内容包括：</w:t>
      </w:r>
    </w:p>
    <w:p>
      <w:pPr>
        <w:spacing w:line="400" w:lineRule="exact"/>
        <w:ind w:firstLine="480"/>
        <w:rPr>
          <w:rFonts w:ascii="宋体" w:hAnsi="宋体"/>
          <w:color w:val="000000"/>
          <w:sz w:val="24"/>
        </w:rPr>
      </w:pPr>
      <w:r>
        <w:rPr>
          <w:rFonts w:hint="eastAsia" w:ascii="宋体" w:hAnsi="宋体"/>
          <w:color w:val="000000"/>
          <w:sz w:val="24"/>
        </w:rPr>
        <w:t>1、邀请供应商参加采购活动的具体方式和相关情况；</w:t>
      </w:r>
    </w:p>
    <w:p>
      <w:pPr>
        <w:spacing w:line="400" w:lineRule="exact"/>
        <w:ind w:firstLine="480"/>
        <w:rPr>
          <w:rFonts w:ascii="宋体" w:hAnsi="宋体"/>
          <w:color w:val="000000"/>
          <w:sz w:val="24"/>
        </w:rPr>
      </w:pPr>
      <w:r>
        <w:rPr>
          <w:rFonts w:hint="eastAsia" w:ascii="宋体" w:hAnsi="宋体"/>
          <w:color w:val="000000"/>
          <w:sz w:val="24"/>
        </w:rPr>
        <w:t>2、响应文件开启日期和地点；</w:t>
      </w:r>
    </w:p>
    <w:p>
      <w:pPr>
        <w:spacing w:line="400" w:lineRule="exact"/>
        <w:ind w:firstLine="480"/>
        <w:rPr>
          <w:rFonts w:ascii="宋体" w:hAnsi="宋体"/>
          <w:color w:val="000000"/>
          <w:sz w:val="24"/>
        </w:rPr>
      </w:pPr>
      <w:r>
        <w:rPr>
          <w:rFonts w:hint="eastAsia" w:ascii="宋体" w:hAnsi="宋体"/>
          <w:color w:val="000000"/>
          <w:sz w:val="24"/>
        </w:rPr>
        <w:t>3、获取磋商文件的供应商名单和磋商小组成员名单；</w:t>
      </w:r>
    </w:p>
    <w:p>
      <w:pPr>
        <w:spacing w:line="400" w:lineRule="exact"/>
        <w:ind w:firstLine="480"/>
        <w:rPr>
          <w:rFonts w:ascii="宋体" w:hAnsi="宋体"/>
          <w:color w:val="000000"/>
          <w:sz w:val="24"/>
        </w:rPr>
      </w:pPr>
      <w:r>
        <w:rPr>
          <w:rFonts w:hint="eastAsia" w:ascii="宋体" w:hAnsi="宋体"/>
          <w:color w:val="000000"/>
          <w:sz w:val="24"/>
        </w:rPr>
        <w:t>4、评审情况记录和说明，包括对供应商的资格审查情况、供应商响应文件评审情况、磋商情况、报价情况等；</w:t>
      </w:r>
    </w:p>
    <w:p>
      <w:pPr>
        <w:spacing w:line="400" w:lineRule="exact"/>
        <w:ind w:firstLine="480"/>
        <w:rPr>
          <w:rFonts w:ascii="宋体" w:hAnsi="宋体"/>
          <w:color w:val="000000"/>
          <w:sz w:val="24"/>
        </w:rPr>
      </w:pPr>
      <w:r>
        <w:rPr>
          <w:rFonts w:hint="eastAsia" w:ascii="宋体" w:hAnsi="宋体"/>
          <w:color w:val="000000"/>
          <w:sz w:val="24"/>
        </w:rPr>
        <w:t>5、提出的成交候选供应商的排序名单及理由。</w:t>
      </w:r>
    </w:p>
    <w:p>
      <w:pPr>
        <w:spacing w:line="400" w:lineRule="exact"/>
        <w:ind w:firstLine="480"/>
        <w:rPr>
          <w:rFonts w:ascii="宋体" w:hAnsi="宋体"/>
          <w:sz w:val="24"/>
        </w:rPr>
      </w:pPr>
      <w:r>
        <w:rPr>
          <w:rFonts w:hint="eastAsia" w:ascii="宋体" w:hAnsi="宋体"/>
          <w:color w:val="000000"/>
          <w:sz w:val="24"/>
        </w:rPr>
        <w:t>评审报告应当由磋商小组全体人员签字认可。磋商小组成员对评审报告有异议的，磋商小组按照少数服从多数的原则推荐成交候选供应商，采购程序继续进行。对评审 报告有异议的磋商小组成员，应当在报告上签署不同意见并说明理由，由磋商小组书面记录相关情况。磋商小组成员拒绝在报告上签字又不书面说明其</w:t>
      </w:r>
      <w:r>
        <w:rPr>
          <w:rFonts w:hint="eastAsia" w:ascii="宋体" w:hAnsi="宋体"/>
          <w:sz w:val="24"/>
        </w:rPr>
        <w:t>不同意见和理 由的，视为同意评审报告。</w:t>
      </w:r>
    </w:p>
    <w:p>
      <w:pPr>
        <w:adjustRightInd w:val="0"/>
        <w:snapToGrid w:val="0"/>
        <w:spacing w:line="440" w:lineRule="exact"/>
        <w:ind w:firstLine="480" w:firstLineChars="200"/>
        <w:rPr>
          <w:rFonts w:ascii="宋体"/>
          <w:b/>
          <w:bCs/>
          <w:sz w:val="24"/>
          <w:u w:val="single"/>
        </w:rPr>
      </w:pPr>
      <w:r>
        <w:rPr>
          <w:rFonts w:ascii="宋体"/>
          <w:b/>
          <w:bCs/>
          <w:sz w:val="24"/>
          <w:u w:val="single"/>
        </w:rPr>
        <w:t>3.</w:t>
      </w:r>
      <w:r>
        <w:rPr>
          <w:rFonts w:hint="eastAsia" w:ascii="宋体"/>
          <w:b/>
          <w:bCs/>
          <w:sz w:val="24"/>
          <w:u w:val="single"/>
        </w:rPr>
        <w:t>6</w:t>
      </w:r>
      <w:r>
        <w:rPr>
          <w:rFonts w:ascii="宋体"/>
          <w:b/>
          <w:bCs/>
          <w:sz w:val="24"/>
          <w:u w:val="single"/>
        </w:rPr>
        <w:t xml:space="preserve">  </w:t>
      </w:r>
      <w:r>
        <w:rPr>
          <w:rFonts w:hint="eastAsia" w:ascii="宋体"/>
          <w:b/>
          <w:bCs/>
          <w:sz w:val="24"/>
          <w:u w:val="single"/>
        </w:rPr>
        <w:t>评审委员会出具评审报告后，采购执行机构应当及时组织</w:t>
      </w:r>
      <w:r>
        <w:rPr>
          <w:rFonts w:ascii="宋体"/>
          <w:b/>
          <w:bCs/>
          <w:sz w:val="24"/>
          <w:u w:val="single"/>
        </w:rPr>
        <w:t>2</w:t>
      </w:r>
      <w:r>
        <w:rPr>
          <w:rFonts w:hint="eastAsia" w:ascii="宋体"/>
          <w:b/>
          <w:bCs/>
          <w:sz w:val="24"/>
          <w:u w:val="single"/>
        </w:rPr>
        <w:t>名以上的工作人员，在采购现场监督人员的监督之下，依据有关的政策制度和采购文件对评审结果进行复核，出具复核报告，存在下列情形之一的，应当根据情况要求评审委员会现场修改评审结果或者重新评审：</w:t>
      </w:r>
    </w:p>
    <w:p>
      <w:pPr>
        <w:adjustRightInd w:val="0"/>
        <w:snapToGrid w:val="0"/>
        <w:spacing w:line="440" w:lineRule="exact"/>
        <w:ind w:firstLine="480" w:firstLineChars="200"/>
        <w:rPr>
          <w:rFonts w:ascii="宋体"/>
          <w:bCs/>
          <w:sz w:val="24"/>
        </w:rPr>
      </w:pPr>
      <w:r>
        <w:rPr>
          <w:rFonts w:ascii="宋体"/>
          <w:bCs/>
          <w:sz w:val="24"/>
        </w:rPr>
        <w:t>3.</w:t>
      </w:r>
      <w:r>
        <w:rPr>
          <w:rFonts w:hint="eastAsia" w:ascii="宋体"/>
          <w:bCs/>
          <w:sz w:val="24"/>
        </w:rPr>
        <w:t>6</w:t>
      </w:r>
      <w:r>
        <w:rPr>
          <w:rFonts w:ascii="宋体"/>
          <w:bCs/>
          <w:sz w:val="24"/>
        </w:rPr>
        <w:t>.1</w:t>
      </w:r>
      <w:r>
        <w:rPr>
          <w:rFonts w:hint="eastAsia" w:ascii="宋体"/>
          <w:bCs/>
          <w:sz w:val="24"/>
        </w:rPr>
        <w:t>资格性审查、符合性审查认定错误的；</w:t>
      </w:r>
    </w:p>
    <w:p>
      <w:pPr>
        <w:adjustRightInd w:val="0"/>
        <w:snapToGrid w:val="0"/>
        <w:spacing w:line="440" w:lineRule="exact"/>
        <w:ind w:firstLine="480" w:firstLineChars="200"/>
        <w:rPr>
          <w:rFonts w:ascii="宋体"/>
          <w:bCs/>
          <w:sz w:val="24"/>
        </w:rPr>
      </w:pPr>
      <w:r>
        <w:rPr>
          <w:rFonts w:ascii="宋体"/>
          <w:bCs/>
          <w:sz w:val="24"/>
        </w:rPr>
        <w:t>3.</w:t>
      </w:r>
      <w:r>
        <w:rPr>
          <w:rFonts w:hint="eastAsia" w:ascii="宋体"/>
          <w:bCs/>
          <w:sz w:val="24"/>
        </w:rPr>
        <w:t>6</w:t>
      </w:r>
      <w:r>
        <w:rPr>
          <w:rFonts w:ascii="宋体"/>
          <w:bCs/>
          <w:sz w:val="24"/>
        </w:rPr>
        <w:t>.2</w:t>
      </w:r>
      <w:r>
        <w:rPr>
          <w:rFonts w:hint="eastAsia" w:ascii="宋体"/>
          <w:bCs/>
          <w:sz w:val="24"/>
        </w:rPr>
        <w:t>评分分值汇总错误的；</w:t>
      </w:r>
    </w:p>
    <w:p>
      <w:pPr>
        <w:adjustRightInd w:val="0"/>
        <w:snapToGrid w:val="0"/>
        <w:spacing w:line="440" w:lineRule="exact"/>
        <w:ind w:firstLine="480" w:firstLineChars="200"/>
        <w:rPr>
          <w:rFonts w:ascii="宋体"/>
          <w:bCs/>
          <w:sz w:val="24"/>
        </w:rPr>
      </w:pPr>
      <w:r>
        <w:rPr>
          <w:rFonts w:ascii="宋体"/>
          <w:bCs/>
          <w:sz w:val="24"/>
        </w:rPr>
        <w:t>3.</w:t>
      </w:r>
      <w:r>
        <w:rPr>
          <w:rFonts w:hint="eastAsia" w:ascii="宋体"/>
          <w:bCs/>
          <w:sz w:val="24"/>
        </w:rPr>
        <w:t>6</w:t>
      </w:r>
      <w:r>
        <w:rPr>
          <w:rFonts w:ascii="宋体"/>
          <w:bCs/>
          <w:sz w:val="24"/>
        </w:rPr>
        <w:t>.3</w:t>
      </w:r>
      <w:r>
        <w:rPr>
          <w:rFonts w:hint="eastAsia" w:ascii="宋体"/>
          <w:bCs/>
          <w:sz w:val="24"/>
        </w:rPr>
        <w:t>分项评分超出评分标准范围的；</w:t>
      </w:r>
    </w:p>
    <w:p>
      <w:pPr>
        <w:adjustRightInd w:val="0"/>
        <w:snapToGrid w:val="0"/>
        <w:spacing w:line="440" w:lineRule="exact"/>
        <w:ind w:firstLine="480" w:firstLineChars="200"/>
        <w:rPr>
          <w:rFonts w:ascii="宋体"/>
          <w:bCs/>
          <w:sz w:val="24"/>
        </w:rPr>
      </w:pPr>
      <w:r>
        <w:rPr>
          <w:rFonts w:ascii="宋体"/>
          <w:bCs/>
          <w:sz w:val="24"/>
        </w:rPr>
        <w:t>3.</w:t>
      </w:r>
      <w:r>
        <w:rPr>
          <w:rFonts w:hint="eastAsia" w:ascii="宋体"/>
          <w:bCs/>
          <w:sz w:val="24"/>
        </w:rPr>
        <w:t>6</w:t>
      </w:r>
      <w:r>
        <w:rPr>
          <w:rFonts w:ascii="宋体"/>
          <w:bCs/>
          <w:sz w:val="24"/>
        </w:rPr>
        <w:t>.4</w:t>
      </w:r>
      <w:r>
        <w:rPr>
          <w:rFonts w:hint="eastAsia" w:ascii="宋体"/>
          <w:bCs/>
          <w:sz w:val="24"/>
        </w:rPr>
        <w:t>客观评分不符合评分标准的。</w:t>
      </w:r>
    </w:p>
    <w:p>
      <w:pPr>
        <w:adjustRightInd w:val="0"/>
        <w:snapToGrid w:val="0"/>
        <w:spacing w:line="440" w:lineRule="exact"/>
        <w:ind w:firstLine="480" w:firstLineChars="200"/>
        <w:rPr>
          <w:rFonts w:ascii="宋体"/>
          <w:bCs/>
          <w:sz w:val="24"/>
        </w:rPr>
      </w:pPr>
      <w:r>
        <w:rPr>
          <w:rFonts w:hint="eastAsia" w:ascii="宋体"/>
          <w:bCs/>
          <w:sz w:val="24"/>
        </w:rPr>
        <w:t>存在本条上述情形的，评审委员会应当按照规定修改评审结果或者重新评审，重新出具评审报告，并在评审报告中详细记载有关事宜。原有的评审报告自动无效，但应当留存归档。采购执行机构复核过程中，评审委员会不得离开评审现场。</w:t>
      </w:r>
    </w:p>
    <w:p>
      <w:pPr>
        <w:pStyle w:val="3"/>
        <w:spacing w:line="400" w:lineRule="exact"/>
        <w:ind w:firstLine="480" w:firstLineChars="200"/>
        <w:jc w:val="both"/>
        <w:rPr>
          <w:rFonts w:ascii="宋体" w:hAnsi="宋体" w:eastAsia="宋体"/>
          <w:color w:val="000000"/>
          <w:sz w:val="24"/>
          <w:szCs w:val="24"/>
        </w:rPr>
      </w:pPr>
      <w:bookmarkStart w:id="67" w:name="_Toc398543641"/>
      <w:bookmarkStart w:id="68" w:name="_Toc408391197"/>
      <w:bookmarkStart w:id="69" w:name="_Toc414449942"/>
      <w:bookmarkStart w:id="70" w:name="_Toc409689479"/>
      <w:bookmarkStart w:id="71" w:name="_Toc398544312"/>
      <w:bookmarkStart w:id="72" w:name="_Toc410298055"/>
      <w:bookmarkStart w:id="73" w:name="_Toc217446103"/>
      <w:r>
        <w:rPr>
          <w:rFonts w:hint="eastAsia" w:ascii="宋体" w:hAnsi="宋体" w:eastAsia="宋体"/>
          <w:color w:val="000000"/>
          <w:sz w:val="24"/>
          <w:szCs w:val="24"/>
        </w:rPr>
        <w:t>4. 评标细则及标准</w:t>
      </w:r>
      <w:bookmarkEnd w:id="67"/>
      <w:bookmarkEnd w:id="68"/>
      <w:bookmarkEnd w:id="69"/>
      <w:bookmarkEnd w:id="70"/>
      <w:bookmarkEnd w:id="71"/>
      <w:bookmarkEnd w:id="72"/>
      <w:bookmarkEnd w:id="73"/>
    </w:p>
    <w:p>
      <w:pPr>
        <w:spacing w:line="400" w:lineRule="exact"/>
        <w:ind w:firstLine="480"/>
        <w:rPr>
          <w:rFonts w:ascii="宋体" w:hAnsi="宋体"/>
          <w:color w:val="000000"/>
          <w:sz w:val="24"/>
        </w:rPr>
      </w:pPr>
      <w:r>
        <w:rPr>
          <w:rFonts w:hint="eastAsia" w:ascii="宋体" w:hAnsi="宋体"/>
          <w:color w:val="000000"/>
          <w:sz w:val="24"/>
        </w:rPr>
        <w:t>4.1 磋商小组依据磋商结果，根据磋商文件的要求采用相同的评标程序、评分办法及标准进行评价和比较。</w:t>
      </w:r>
    </w:p>
    <w:p>
      <w:pPr>
        <w:widowControl/>
        <w:ind w:firstLine="480" w:firstLineChars="200"/>
        <w:rPr>
          <w:rFonts w:ascii="宋体" w:hAnsi="宋体"/>
          <w:color w:val="000000"/>
          <w:sz w:val="24"/>
        </w:rPr>
      </w:pPr>
      <w:r>
        <w:rPr>
          <w:rFonts w:hint="eastAsia" w:ascii="宋体" w:hAnsi="宋体"/>
          <w:color w:val="000000"/>
          <w:sz w:val="24"/>
        </w:rPr>
        <w:t>4.2 本次综合评分的因素是：报价、性能、技术指标等、服务及承诺、投标人综合实力等。</w:t>
      </w:r>
    </w:p>
    <w:p>
      <w:pPr>
        <w:pStyle w:val="11"/>
        <w:tabs>
          <w:tab w:val="left" w:pos="600"/>
        </w:tabs>
        <w:spacing w:line="400" w:lineRule="exact"/>
        <w:ind w:firstLine="480" w:firstLineChars="200"/>
        <w:rPr>
          <w:rFonts w:ascii="宋体" w:hAnsi="宋体"/>
          <w:b w:val="0"/>
          <w:color w:val="000000"/>
          <w:sz w:val="24"/>
          <w:szCs w:val="24"/>
        </w:rPr>
      </w:pPr>
      <w:r>
        <w:rPr>
          <w:rFonts w:hint="eastAsia" w:ascii="宋体" w:hAnsi="宋体"/>
          <w:b w:val="0"/>
          <w:color w:val="000000"/>
          <w:sz w:val="24"/>
          <w:szCs w:val="24"/>
        </w:rPr>
        <w:t>4.3评标委员会成员应当根据自身专业情况对每个有效投标供应商的投标文件进行独立评分，加权汇总每项评分因素的得分，得出每个有效投标供应商的总分。技术类评分因素由技术方面评标委员会成员独立评分。经济类评分因素由经济方面评标委员会成员独立评分。政策合同类的评分因素由法律方面评标委员会成员独立评分。采购人代表原则上对技术类评分因素独立评分。价格和其他不能明确区分的评分因素由评标委员会成员共同评分。</w:t>
      </w:r>
    </w:p>
    <w:p>
      <w:pPr>
        <w:spacing w:line="360" w:lineRule="auto"/>
        <w:ind w:firstLine="470" w:firstLineChars="196"/>
        <w:rPr>
          <w:rFonts w:ascii="仿宋_GB2312" w:hAnsi="仿宋_GB2312" w:eastAsia="仿宋_GB2312" w:cs="仿宋_GB2312"/>
          <w:b/>
          <w:sz w:val="24"/>
          <w:szCs w:val="24"/>
        </w:rPr>
      </w:pPr>
      <w:r>
        <w:rPr>
          <w:rFonts w:hint="eastAsia" w:ascii="宋体" w:hAnsi="宋体"/>
          <w:color w:val="000000"/>
          <w:sz w:val="24"/>
          <w:highlight w:val="yellow"/>
        </w:rPr>
        <w:t>4.4</w:t>
      </w:r>
      <w:bookmarkEnd w:id="64"/>
      <w:bookmarkStart w:id="74" w:name="_Toc398544313"/>
      <w:bookmarkStart w:id="75" w:name="_Toc398543642"/>
      <w:bookmarkStart w:id="76" w:name="_Toc410298056"/>
      <w:bookmarkStart w:id="77" w:name="_Toc409689480"/>
      <w:bookmarkStart w:id="78" w:name="_Toc408391198"/>
      <w:bookmarkStart w:id="79" w:name="_Toc414449943"/>
      <w:bookmarkStart w:id="80" w:name="_Toc217446060"/>
      <w:r>
        <w:rPr>
          <w:rFonts w:hint="eastAsia" w:ascii="仿宋_GB2312" w:hAnsi="仿宋_GB2312" w:eastAsia="仿宋_GB2312" w:cs="仿宋_GB2312"/>
          <w:b/>
          <w:sz w:val="24"/>
          <w:szCs w:val="24"/>
          <w:highlight w:val="yellow"/>
        </w:rPr>
        <w:t>综合评分明细表</w:t>
      </w:r>
    </w:p>
    <w:tbl>
      <w:tblPr>
        <w:tblStyle w:val="26"/>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455"/>
        <w:gridCol w:w="605"/>
        <w:gridCol w:w="6122"/>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5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145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评分因素</w:t>
            </w:r>
          </w:p>
        </w:tc>
        <w:tc>
          <w:tcPr>
            <w:tcW w:w="60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分值</w:t>
            </w:r>
          </w:p>
        </w:tc>
        <w:tc>
          <w:tcPr>
            <w:tcW w:w="6122"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评分标准</w:t>
            </w:r>
          </w:p>
        </w:tc>
        <w:tc>
          <w:tcPr>
            <w:tcW w:w="1157"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45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45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报价30%</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（共同评分因素）</w:t>
            </w:r>
          </w:p>
        </w:tc>
        <w:tc>
          <w:tcPr>
            <w:tcW w:w="60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30分</w:t>
            </w:r>
          </w:p>
        </w:tc>
        <w:tc>
          <w:tcPr>
            <w:tcW w:w="6122" w:type="dxa"/>
            <w:vAlign w:val="center"/>
          </w:tcPr>
          <w:p>
            <w:pPr>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以本次经评审有效的最低响应报价为基准价，报价得分=（基准价/响应报价）×30分。</w:t>
            </w:r>
          </w:p>
        </w:tc>
        <w:tc>
          <w:tcPr>
            <w:tcW w:w="1157"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8" w:hRule="atLeast"/>
          <w:jc w:val="center"/>
        </w:trPr>
        <w:tc>
          <w:tcPr>
            <w:tcW w:w="45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45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服务响应22%（技术类评分因素）</w:t>
            </w:r>
          </w:p>
        </w:tc>
        <w:tc>
          <w:tcPr>
            <w:tcW w:w="60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22分</w:t>
            </w:r>
          </w:p>
        </w:tc>
        <w:tc>
          <w:tcPr>
            <w:tcW w:w="6122" w:type="dxa"/>
            <w:vAlign w:val="center"/>
          </w:tcPr>
          <w:p>
            <w:pPr>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完全满足采购文件“服务内容及要求”服务要求得22分，与招标文件“服务内容及要求”服务要求有负偏离的，每有一项负偏离扣2分，此项分值扣完为止。</w:t>
            </w:r>
          </w:p>
        </w:tc>
        <w:tc>
          <w:tcPr>
            <w:tcW w:w="1157"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8" w:hRule="atLeast"/>
          <w:jc w:val="center"/>
        </w:trPr>
        <w:tc>
          <w:tcPr>
            <w:tcW w:w="459" w:type="dxa"/>
            <w:vAlign w:val="center"/>
          </w:tcPr>
          <w:p>
            <w:pPr>
              <w:jc w:val="center"/>
              <w:rPr>
                <w:rFonts w:ascii="仿宋_GB2312" w:hAnsi="仿宋_GB2312" w:eastAsia="仿宋_GB2312" w:cs="仿宋_GB2312"/>
                <w:bCs/>
                <w:sz w:val="24"/>
                <w:szCs w:val="24"/>
              </w:rPr>
            </w:pPr>
            <w:bookmarkStart w:id="81" w:name="OLE_LINK1" w:colFirst="2" w:colLast="2"/>
            <w:r>
              <w:rPr>
                <w:rFonts w:hint="eastAsia" w:ascii="仿宋_GB2312" w:hAnsi="仿宋_GB2312" w:eastAsia="仿宋_GB2312" w:cs="仿宋_GB2312"/>
                <w:bCs/>
                <w:sz w:val="24"/>
                <w:szCs w:val="24"/>
              </w:rPr>
              <w:t>2</w:t>
            </w:r>
          </w:p>
        </w:tc>
        <w:tc>
          <w:tcPr>
            <w:tcW w:w="145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服务方案25%（技术类评分因素）</w:t>
            </w:r>
          </w:p>
        </w:tc>
        <w:tc>
          <w:tcPr>
            <w:tcW w:w="60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25分</w:t>
            </w:r>
          </w:p>
        </w:tc>
        <w:tc>
          <w:tcPr>
            <w:tcW w:w="6122" w:type="dxa"/>
            <w:vAlign w:val="center"/>
          </w:tcPr>
          <w:p>
            <w:pPr>
              <w:widowControl/>
              <w:autoSpaceDE w:val="0"/>
              <w:autoSpaceDN w:val="0"/>
              <w:adjustRightIn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根据供应商提供的服务方案进行综合评分：</w:t>
            </w:r>
          </w:p>
          <w:p>
            <w:pPr>
              <w:pStyle w:val="10"/>
              <w:widowControl/>
              <w:adjustRightInd w:val="0"/>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1、方案内容包含全部项目“服务内容</w:t>
            </w:r>
            <w:r>
              <w:rPr>
                <w:rFonts w:hint="eastAsia" w:ascii="仿宋_GB2312" w:hAnsi="仿宋_GB2312" w:eastAsia="仿宋_GB2312" w:cs="仿宋_GB2312"/>
                <w:sz w:val="24"/>
                <w:szCs w:val="24"/>
              </w:rPr>
              <w:t>及要求</w:t>
            </w:r>
            <w:r>
              <w:rPr>
                <w:rFonts w:hint="eastAsia" w:ascii="仿宋_GB2312" w:hAnsi="仿宋_GB2312" w:eastAsia="仿宋_GB2312" w:cs="仿宋_GB2312"/>
                <w:kern w:val="0"/>
                <w:sz w:val="24"/>
                <w:szCs w:val="24"/>
              </w:rPr>
              <w:t>”得6分，编制科学、合理加3分，不提供不得分；</w:t>
            </w:r>
          </w:p>
          <w:p>
            <w:pPr>
              <w:pStyle w:val="10"/>
              <w:widowControl/>
              <w:adjustRightInd w:val="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2、有具体</w:t>
            </w:r>
            <w:r>
              <w:rPr>
                <w:rFonts w:hint="eastAsia" w:ascii="仿宋_GB2312" w:hAnsi="仿宋_GB2312" w:eastAsia="仿宋_GB2312" w:cs="仿宋_GB2312"/>
                <w:kern w:val="0"/>
                <w:sz w:val="24"/>
                <w:szCs w:val="24"/>
                <w:lang w:val="zh-CN"/>
              </w:rPr>
              <w:t>项目</w:t>
            </w:r>
            <w:r>
              <w:rPr>
                <w:rFonts w:hint="eastAsia" w:ascii="仿宋_GB2312" w:hAnsi="仿宋_GB2312" w:eastAsia="仿宋_GB2312" w:cs="仿宋_GB2312"/>
                <w:kern w:val="0"/>
                <w:sz w:val="24"/>
                <w:szCs w:val="24"/>
              </w:rPr>
              <w:t>申报进度安排得6分，进度安排科学、合理加3分，不提供不得分；</w:t>
            </w:r>
          </w:p>
          <w:p>
            <w:pPr>
              <w:pStyle w:val="24"/>
              <w:widowControl/>
              <w:adjustRightInd w:val="0"/>
              <w:spacing w:after="0"/>
              <w:ind w:firstLine="0" w:firstLineChars="0"/>
              <w:rPr>
                <w:rFonts w:ascii="仿宋_GB2312" w:hAnsi="仿宋_GB2312" w:eastAsia="仿宋_GB2312" w:cs="仿宋_GB2312"/>
                <w:kern w:val="0"/>
                <w:sz w:val="24"/>
              </w:rPr>
            </w:pPr>
            <w:r>
              <w:rPr>
                <w:rFonts w:hint="eastAsia" w:ascii="仿宋_GB2312" w:hAnsi="仿宋_GB2312" w:eastAsia="仿宋_GB2312" w:cs="仿宋_GB2312"/>
                <w:kern w:val="0"/>
                <w:sz w:val="24"/>
              </w:rPr>
              <w:t>3、有具体的</w:t>
            </w:r>
            <w:r>
              <w:rPr>
                <w:rFonts w:hint="eastAsia" w:ascii="仿宋_GB2312" w:hAnsi="仿宋_GB2312" w:eastAsia="仿宋_GB2312" w:cs="仿宋_GB2312"/>
                <w:kern w:val="0"/>
                <w:sz w:val="24"/>
                <w:lang w:val="zh-CN"/>
              </w:rPr>
              <w:t>机构组成、</w:t>
            </w:r>
            <w:r>
              <w:rPr>
                <w:rFonts w:hint="eastAsia" w:ascii="仿宋_GB2312" w:hAnsi="仿宋_GB2312" w:eastAsia="仿宋_GB2312" w:cs="仿宋_GB2312"/>
                <w:kern w:val="0"/>
                <w:sz w:val="24"/>
              </w:rPr>
              <w:t>人员配置</w:t>
            </w:r>
            <w:r>
              <w:rPr>
                <w:rFonts w:hint="eastAsia" w:ascii="仿宋_GB2312" w:hAnsi="仿宋_GB2312" w:eastAsia="仿宋_GB2312" w:cs="仿宋_GB2312"/>
                <w:kern w:val="0"/>
                <w:sz w:val="24"/>
                <w:lang w:val="zh-CN"/>
              </w:rPr>
              <w:t>、管理制度</w:t>
            </w:r>
            <w:r>
              <w:rPr>
                <w:rFonts w:hint="eastAsia" w:ascii="仿宋_GB2312" w:hAnsi="仿宋_GB2312" w:eastAsia="仿宋_GB2312" w:cs="仿宋_GB2312"/>
                <w:kern w:val="0"/>
                <w:sz w:val="24"/>
              </w:rPr>
              <w:t>得6分，机构组成合理、人员配置合理、管理制度规范加3分，不提供不得分；</w:t>
            </w:r>
          </w:p>
          <w:p>
            <w:pPr>
              <w:pStyle w:val="24"/>
              <w:widowControl/>
              <w:adjustRightInd w:val="0"/>
              <w:spacing w:after="0"/>
              <w:ind w:firstLine="0" w:firstLineChars="0"/>
              <w:rPr>
                <w:rFonts w:ascii="仿宋_GB2312" w:hAnsi="仿宋_GB2312" w:eastAsia="仿宋_GB2312" w:cs="仿宋_GB2312"/>
                <w:kern w:val="0"/>
                <w:sz w:val="24"/>
                <w:lang w:val="zh-CN"/>
              </w:rPr>
            </w:pPr>
            <w:r>
              <w:rPr>
                <w:rFonts w:hint="eastAsia" w:ascii="仿宋_GB2312" w:hAnsi="仿宋_GB2312" w:eastAsia="仿宋_GB2312" w:cs="仿宋_GB2312"/>
                <w:kern w:val="0"/>
                <w:sz w:val="24"/>
              </w:rPr>
              <w:t>4、有具体的服务工作机制</w:t>
            </w:r>
            <w:r>
              <w:rPr>
                <w:rFonts w:hint="eastAsia" w:ascii="仿宋_GB2312" w:hAnsi="仿宋_GB2312" w:eastAsia="仿宋_GB2312" w:cs="仿宋_GB2312"/>
                <w:kern w:val="0"/>
                <w:sz w:val="24"/>
                <w:lang w:val="zh-CN"/>
              </w:rPr>
              <w:t>得</w:t>
            </w:r>
            <w:r>
              <w:rPr>
                <w:rFonts w:hint="eastAsia" w:ascii="仿宋_GB2312" w:hAnsi="仿宋_GB2312" w:eastAsia="仿宋_GB2312" w:cs="仿宋_GB2312"/>
                <w:kern w:val="0"/>
                <w:sz w:val="24"/>
              </w:rPr>
              <w:t>4</w:t>
            </w:r>
            <w:r>
              <w:rPr>
                <w:rFonts w:hint="eastAsia" w:ascii="仿宋_GB2312" w:hAnsi="仿宋_GB2312" w:eastAsia="仿宋_GB2312" w:cs="仿宋_GB2312"/>
                <w:kern w:val="0"/>
                <w:sz w:val="24"/>
                <w:lang w:val="zh-CN"/>
              </w:rPr>
              <w:t>分，</w:t>
            </w:r>
            <w:r>
              <w:rPr>
                <w:rFonts w:hint="eastAsia" w:ascii="仿宋_GB2312" w:hAnsi="仿宋_GB2312" w:eastAsia="仿宋_GB2312" w:cs="仿宋_GB2312"/>
                <w:kern w:val="0"/>
                <w:sz w:val="24"/>
              </w:rPr>
              <w:t>服务工作机制科学、合理加2分，不提供不得分</w:t>
            </w:r>
            <w:r>
              <w:rPr>
                <w:rFonts w:hint="eastAsia" w:ascii="仿宋_GB2312" w:hAnsi="仿宋_GB2312" w:eastAsia="仿宋_GB2312" w:cs="仿宋_GB2312"/>
                <w:kern w:val="0"/>
                <w:sz w:val="24"/>
                <w:lang w:val="zh-CN"/>
              </w:rPr>
              <w:t>。</w:t>
            </w:r>
          </w:p>
          <w:p>
            <w:pPr>
              <w:pStyle w:val="24"/>
              <w:widowControl/>
              <w:adjustRightInd w:val="0"/>
              <w:spacing w:after="0"/>
              <w:ind w:firstLine="0" w:firstLineChars="0"/>
              <w:rPr>
                <w:rFonts w:ascii="仿宋_GB2312" w:hAnsi="仿宋_GB2312" w:eastAsia="仿宋_GB2312" w:cs="仿宋_GB2312"/>
                <w:kern w:val="0"/>
                <w:sz w:val="24"/>
              </w:rPr>
            </w:pPr>
            <w:r>
              <w:rPr>
                <w:rFonts w:hint="eastAsia" w:ascii="仿宋_GB2312" w:hAnsi="仿宋_GB2312" w:eastAsia="仿宋_GB2312" w:cs="仿宋_GB2312"/>
                <w:kern w:val="0"/>
                <w:sz w:val="24"/>
              </w:rPr>
              <w:t>5、能提供专人负责联系得3分，联系人能提供24小时服务加2分。</w:t>
            </w:r>
          </w:p>
        </w:tc>
        <w:tc>
          <w:tcPr>
            <w:tcW w:w="1157" w:type="dxa"/>
            <w:vAlign w:val="center"/>
          </w:tcPr>
          <w:p>
            <w:pPr>
              <w:jc w:val="center"/>
              <w:rPr>
                <w:rFonts w:ascii="仿宋_GB2312" w:hAnsi="仿宋_GB2312" w:eastAsia="仿宋_GB2312" w:cs="仿宋_GB2312"/>
                <w:bCs/>
                <w:sz w:val="24"/>
                <w:szCs w:val="24"/>
              </w:rPr>
            </w:pPr>
          </w:p>
        </w:tc>
      </w:tr>
      <w:bookmarkEnd w:id="8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45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45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履约能力20%（共同评分因素）</w:t>
            </w:r>
          </w:p>
        </w:tc>
        <w:tc>
          <w:tcPr>
            <w:tcW w:w="60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20分</w:t>
            </w:r>
          </w:p>
        </w:tc>
        <w:tc>
          <w:tcPr>
            <w:tcW w:w="6122" w:type="dxa"/>
            <w:vAlign w:val="center"/>
          </w:tcPr>
          <w:p>
            <w:pPr>
              <w:pStyle w:val="126"/>
              <w:ind w:firstLine="0" w:firstLineChars="0"/>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供应商2018年至今有类似项目业绩的，每提供一个得4分，最多得20分。提供成交（中标）通知书复印件或合同（协议）复印件，不满足或不提供不得分。</w:t>
            </w:r>
          </w:p>
        </w:tc>
        <w:tc>
          <w:tcPr>
            <w:tcW w:w="1157" w:type="dxa"/>
            <w:vAlign w:val="center"/>
          </w:tcPr>
          <w:p>
            <w:pPr>
              <w:jc w:val="center"/>
              <w:rPr>
                <w:rFonts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jc w:val="center"/>
        </w:trPr>
        <w:tc>
          <w:tcPr>
            <w:tcW w:w="459"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45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响应文件规范性3%</w:t>
            </w:r>
          </w:p>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（共同评分因素）</w:t>
            </w:r>
          </w:p>
        </w:tc>
        <w:tc>
          <w:tcPr>
            <w:tcW w:w="605" w:type="dxa"/>
            <w:vAlign w:val="center"/>
          </w:tcPr>
          <w:p>
            <w:pPr>
              <w:jc w:val="center"/>
              <w:rPr>
                <w:rFonts w:ascii="仿宋_GB2312" w:hAnsi="仿宋_GB2312" w:eastAsia="仿宋_GB2312" w:cs="仿宋_GB2312"/>
                <w:bCs/>
                <w:sz w:val="24"/>
                <w:szCs w:val="24"/>
              </w:rPr>
            </w:pPr>
            <w:r>
              <w:rPr>
                <w:rFonts w:hint="eastAsia" w:ascii="仿宋_GB2312" w:hAnsi="仿宋_GB2312" w:eastAsia="仿宋_GB2312" w:cs="仿宋_GB2312"/>
                <w:bCs/>
                <w:sz w:val="24"/>
                <w:szCs w:val="24"/>
              </w:rPr>
              <w:t>3分</w:t>
            </w:r>
          </w:p>
        </w:tc>
        <w:tc>
          <w:tcPr>
            <w:tcW w:w="6122" w:type="dxa"/>
            <w:vAlign w:val="center"/>
          </w:tcPr>
          <w:p>
            <w:pPr>
              <w:jc w:val="left"/>
              <w:rPr>
                <w:rFonts w:ascii="仿宋_GB2312" w:hAnsi="仿宋_GB2312" w:eastAsia="仿宋_GB2312" w:cs="仿宋_GB2312"/>
                <w:bCs/>
                <w:sz w:val="24"/>
                <w:szCs w:val="24"/>
              </w:rPr>
            </w:pPr>
            <w:r>
              <w:rPr>
                <w:rFonts w:hint="eastAsia" w:ascii="仿宋_GB2312" w:hAnsi="仿宋_GB2312" w:eastAsia="仿宋_GB2312" w:cs="仿宋_GB2312"/>
                <w:bCs/>
                <w:sz w:val="24"/>
                <w:szCs w:val="24"/>
              </w:rPr>
              <w:t>响应文件制作规范，没有细微偏差情形的得3分，有一项细微偏差扣0.5分，直至该项分值扣完为止。</w:t>
            </w:r>
          </w:p>
        </w:tc>
        <w:tc>
          <w:tcPr>
            <w:tcW w:w="1157" w:type="dxa"/>
            <w:vAlign w:val="center"/>
          </w:tcPr>
          <w:p>
            <w:pPr>
              <w:jc w:val="center"/>
              <w:rPr>
                <w:rFonts w:ascii="仿宋_GB2312" w:hAnsi="仿宋_GB2312" w:eastAsia="仿宋_GB2312" w:cs="仿宋_GB2312"/>
                <w:bCs/>
                <w:sz w:val="24"/>
                <w:szCs w:val="24"/>
              </w:rPr>
            </w:pPr>
          </w:p>
        </w:tc>
      </w:tr>
    </w:tbl>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注：评分的取值按四舍五入法，保留小数点后两位。</w:t>
      </w:r>
    </w:p>
    <w:p>
      <w:pPr>
        <w:pStyle w:val="11"/>
        <w:tabs>
          <w:tab w:val="left" w:pos="600"/>
        </w:tabs>
        <w:spacing w:line="400" w:lineRule="exact"/>
        <w:ind w:firstLine="480" w:firstLineChars="200"/>
        <w:rPr>
          <w:rFonts w:ascii="宋体" w:hAnsi="宋体"/>
          <w:color w:val="000000"/>
          <w:sz w:val="24"/>
          <w:szCs w:val="24"/>
        </w:rPr>
      </w:pPr>
      <w:r>
        <w:rPr>
          <w:rFonts w:hint="eastAsia" w:ascii="宋体" w:hAnsi="宋体"/>
          <w:color w:val="000000"/>
          <w:sz w:val="24"/>
          <w:szCs w:val="24"/>
        </w:rPr>
        <w:t>5、</w:t>
      </w:r>
      <w:bookmarkEnd w:id="74"/>
      <w:bookmarkEnd w:id="75"/>
      <w:bookmarkEnd w:id="76"/>
      <w:bookmarkEnd w:id="77"/>
      <w:bookmarkEnd w:id="78"/>
      <w:r>
        <w:rPr>
          <w:rFonts w:hint="eastAsia" w:ascii="宋体" w:hAnsi="宋体"/>
          <w:color w:val="000000"/>
          <w:sz w:val="24"/>
          <w:szCs w:val="24"/>
        </w:rPr>
        <w:t>终止磋商</w:t>
      </w:r>
      <w:bookmarkEnd w:id="79"/>
    </w:p>
    <w:p>
      <w:pPr>
        <w:spacing w:line="400" w:lineRule="exact"/>
        <w:ind w:firstLine="480" w:firstLineChars="200"/>
        <w:rPr>
          <w:rFonts w:ascii="宋体" w:hAnsi="宋体"/>
          <w:color w:val="000000"/>
          <w:sz w:val="24"/>
        </w:rPr>
      </w:pPr>
      <w:r>
        <w:rPr>
          <w:rFonts w:hint="eastAsia" w:ascii="宋体" w:hAnsi="宋体"/>
          <w:color w:val="000000"/>
          <w:sz w:val="24"/>
        </w:rPr>
        <w:t>出现下列情形之一的，采购办应当终止竞争性磋商采购活动，发布项目终止公告并说明原因，重新开展采购活动：</w:t>
      </w:r>
    </w:p>
    <w:p>
      <w:pPr>
        <w:spacing w:line="400" w:lineRule="exact"/>
        <w:ind w:firstLine="480" w:firstLineChars="200"/>
        <w:rPr>
          <w:rFonts w:ascii="宋体" w:hAnsi="宋体"/>
          <w:color w:val="000000"/>
          <w:sz w:val="24"/>
        </w:rPr>
      </w:pPr>
      <w:r>
        <w:rPr>
          <w:rFonts w:hint="eastAsia" w:ascii="宋体" w:hAnsi="宋体"/>
          <w:color w:val="000000"/>
          <w:sz w:val="24"/>
        </w:rPr>
        <w:t>1、因情况变化，不再符合规定的竞争性磋商采购方式适用情形的；</w:t>
      </w:r>
    </w:p>
    <w:p>
      <w:pPr>
        <w:spacing w:line="400" w:lineRule="exact"/>
        <w:ind w:firstLine="480" w:firstLineChars="200"/>
        <w:rPr>
          <w:rFonts w:ascii="宋体" w:hAnsi="宋体"/>
          <w:color w:val="000000"/>
          <w:sz w:val="24"/>
        </w:rPr>
      </w:pPr>
      <w:r>
        <w:rPr>
          <w:rFonts w:hint="eastAsia" w:ascii="宋体" w:hAnsi="宋体"/>
          <w:color w:val="000000"/>
          <w:sz w:val="24"/>
        </w:rPr>
        <w:t>2、出现影响采购公正的违法、违规行为的；</w:t>
      </w:r>
    </w:p>
    <w:p>
      <w:pPr>
        <w:spacing w:line="400" w:lineRule="exact"/>
        <w:ind w:firstLine="480" w:firstLineChars="200"/>
        <w:rPr>
          <w:rFonts w:ascii="宋体" w:hAnsi="宋体"/>
          <w:color w:val="000000"/>
          <w:sz w:val="24"/>
        </w:rPr>
      </w:pPr>
      <w:r>
        <w:rPr>
          <w:rFonts w:hint="eastAsia" w:ascii="宋体" w:hAnsi="宋体"/>
          <w:color w:val="000000"/>
          <w:sz w:val="24"/>
        </w:rPr>
        <w:t>3、经磋商委员会一致同意可以为两家外；在采购过程中符合要求的供应商或者报价未超过采购预算的供应商不足3家的。</w:t>
      </w:r>
    </w:p>
    <w:p>
      <w:pPr>
        <w:spacing w:line="400" w:lineRule="exact"/>
        <w:ind w:firstLine="480" w:firstLineChars="200"/>
        <w:rPr>
          <w:rFonts w:ascii="宋体" w:hAnsi="宋体"/>
          <w:color w:val="000000"/>
          <w:sz w:val="24"/>
        </w:rPr>
      </w:pPr>
      <w:r>
        <w:rPr>
          <w:rFonts w:hint="eastAsia" w:ascii="宋体" w:hAnsi="宋体"/>
          <w:color w:val="000000"/>
          <w:sz w:val="24"/>
        </w:rPr>
        <w:t>终止后，在绵阳市中医医院官网公告。</w:t>
      </w:r>
    </w:p>
    <w:p>
      <w:pPr>
        <w:pStyle w:val="3"/>
        <w:spacing w:line="400" w:lineRule="exact"/>
        <w:jc w:val="both"/>
        <w:rPr>
          <w:rFonts w:ascii="宋体" w:hAnsi="宋体" w:eastAsia="宋体"/>
          <w:color w:val="000000"/>
          <w:sz w:val="24"/>
          <w:szCs w:val="24"/>
        </w:rPr>
      </w:pPr>
      <w:bookmarkStart w:id="82" w:name="_Toc414449944"/>
      <w:bookmarkStart w:id="83" w:name="_Toc410298057"/>
      <w:bookmarkStart w:id="84" w:name="_Toc409689481"/>
      <w:bookmarkStart w:id="85" w:name="_Toc408391199"/>
      <w:bookmarkStart w:id="86" w:name="_Toc398544314"/>
      <w:bookmarkStart w:id="87" w:name="_Toc398543643"/>
      <w:r>
        <w:rPr>
          <w:rFonts w:hint="eastAsia" w:ascii="宋体" w:hAnsi="宋体" w:eastAsia="宋体"/>
          <w:color w:val="000000"/>
          <w:sz w:val="24"/>
          <w:szCs w:val="24"/>
        </w:rPr>
        <w:t>6、定标</w:t>
      </w:r>
      <w:bookmarkEnd w:id="80"/>
      <w:bookmarkEnd w:id="82"/>
      <w:bookmarkEnd w:id="83"/>
      <w:bookmarkEnd w:id="84"/>
      <w:bookmarkEnd w:id="85"/>
      <w:bookmarkEnd w:id="86"/>
      <w:bookmarkEnd w:id="87"/>
      <w:bookmarkStart w:id="88" w:name="_Toc217446061"/>
    </w:p>
    <w:p>
      <w:pPr>
        <w:spacing w:line="400" w:lineRule="exact"/>
        <w:ind w:firstLine="480" w:firstLineChars="200"/>
        <w:rPr>
          <w:rFonts w:ascii="宋体" w:hAnsi="宋体"/>
          <w:color w:val="000000"/>
          <w:sz w:val="24"/>
        </w:rPr>
      </w:pPr>
      <w:r>
        <w:rPr>
          <w:rFonts w:hint="eastAsia" w:ascii="宋体" w:hAnsi="宋体"/>
          <w:color w:val="000000"/>
          <w:sz w:val="24"/>
        </w:rPr>
        <w:t>6.1. 定标原则</w:t>
      </w:r>
      <w:bookmarkEnd w:id="88"/>
      <w:r>
        <w:rPr>
          <w:rFonts w:hint="eastAsia" w:ascii="宋体" w:hAnsi="宋体"/>
          <w:color w:val="000000"/>
          <w:sz w:val="24"/>
        </w:rPr>
        <w:t>：本项目根据评委会推荐的成交供应商候选名单，按顺序确定成交供应商。</w:t>
      </w:r>
    </w:p>
    <w:p>
      <w:pPr>
        <w:spacing w:line="400" w:lineRule="exact"/>
        <w:ind w:firstLine="480" w:firstLineChars="200"/>
        <w:rPr>
          <w:rFonts w:ascii="宋体" w:hAnsi="宋体"/>
          <w:color w:val="000000"/>
          <w:sz w:val="24"/>
        </w:rPr>
      </w:pPr>
      <w:bookmarkStart w:id="89" w:name="_Toc217446062"/>
      <w:r>
        <w:rPr>
          <w:rFonts w:hint="eastAsia" w:ascii="宋体" w:hAnsi="宋体"/>
          <w:color w:val="000000"/>
          <w:sz w:val="24"/>
        </w:rPr>
        <w:t>6.2. 定标程序</w:t>
      </w:r>
      <w:bookmarkEnd w:id="89"/>
    </w:p>
    <w:p>
      <w:pPr>
        <w:spacing w:line="400" w:lineRule="exact"/>
        <w:ind w:firstLine="480" w:firstLineChars="200"/>
        <w:rPr>
          <w:rFonts w:ascii="宋体" w:hAnsi="宋体"/>
          <w:color w:val="000000"/>
          <w:sz w:val="24"/>
        </w:rPr>
      </w:pPr>
      <w:r>
        <w:rPr>
          <w:rFonts w:hint="eastAsia" w:ascii="宋体" w:hAnsi="宋体"/>
          <w:color w:val="000000"/>
          <w:sz w:val="24"/>
        </w:rPr>
        <w:t>6.2.1 磋商小组将评标情况写出书面报告，推荐成交候选人，并按照综合得分高低标明排列顺序。综合得分相同的，按投标报价由低到高顺序排列。得分且投标报价相同的，按技术指标优劣顺序排列。</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6.2.4 根据磋商委员会确定的中标人，在绵阳中医医院官网发布中标公告，同时向中标人发出中标通知书。</w:t>
      </w:r>
    </w:p>
    <w:p>
      <w:pPr>
        <w:spacing w:line="400" w:lineRule="exact"/>
        <w:ind w:firstLine="480" w:firstLineChars="200"/>
        <w:rPr>
          <w:rFonts w:ascii="宋体" w:hAnsi="宋体"/>
          <w:color w:val="000000"/>
          <w:sz w:val="24"/>
          <w:szCs w:val="24"/>
        </w:rPr>
      </w:pPr>
      <w:r>
        <w:rPr>
          <w:rFonts w:hint="eastAsia" w:ascii="宋体" w:hAnsi="宋体"/>
          <w:color w:val="000000"/>
          <w:sz w:val="24"/>
          <w:szCs w:val="24"/>
        </w:rPr>
        <w:t>6.2.5 采购办不解释中标或落标原因，不退回投标文件和其他投标资料。</w:t>
      </w:r>
    </w:p>
    <w:sectPr>
      <w:headerReference r:id="rId10" w:type="default"/>
      <w:footerReference r:id="rId11" w:type="default"/>
      <w:footerReference r:id="rId12" w:type="even"/>
      <w:type w:val="continuous"/>
      <w:pgSz w:w="11906" w:h="16838"/>
      <w:pgMar w:top="1418" w:right="1701" w:bottom="1134" w:left="1758" w:header="624" w:footer="907"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A00002EF" w:usb1="4000004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sz w:val="28"/>
      </w:rPr>
      <w:pict>
        <v:shape id="文本框 3" o:spid="_x0000_s3073"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joinstyle="miter"/>
          <v:imagedata o:title=""/>
          <o:lock v:ext="edit"/>
          <v:textbox inset="0mm,0mm,0mm,0mm" style="mso-fit-shape-to-text:t;">
            <w:txbxContent>
              <w:p>
                <w:pPr>
                  <w:pStyle w:val="16"/>
                  <w:jc w:val="center"/>
                </w:pPr>
                <w:r>
                  <w:rPr>
                    <w:rFonts w:hint="eastAsia"/>
                  </w:rPr>
                  <w:t xml:space="preserve">第 </w:t>
                </w:r>
                <w:r>
                  <w:fldChar w:fldCharType="begin"/>
                </w:r>
                <w:r>
                  <w:instrText xml:space="preserve"> PAGE  \* MERGEFORMAT </w:instrText>
                </w:r>
                <w:r>
                  <w:fldChar w:fldCharType="separate"/>
                </w:r>
                <w:r>
                  <w:t>2</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sz w:val="28"/>
      </w:rPr>
      <w:pict>
        <v:shape id="文本框 4" o:spid="_x0000_s3074"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sWargBAABUAwAADgAAAGRycy9lMm9Eb2MueG1srVPBThsxEL1X4h8s&#10;35tdI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dEsWargBAABUAwAADgAAAAAAAAABACAAAAAeAQAAZHJzL2Uyb0RvYy54bWxQSwUGAAAAAAYABgBZ&#10;AQAASAUAAAAA&#10;">
          <v:path/>
          <v:fill on="f" focussize="0,0"/>
          <v:stroke on="f" joinstyle="miter"/>
          <v:imagedata o:title=""/>
          <o:lock v:ext="edit"/>
          <v:textbox inset="0mm,0mm,0mm,0mm" style="mso-fit-shape-to-text:t;">
            <w:txbxContent>
              <w:p>
                <w:pPr>
                  <w:pStyle w:val="16"/>
                  <w:jc w:val="center"/>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32"/>
        <w:szCs w:val="32"/>
      </w:rPr>
    </w:pPr>
    <w:r>
      <w:rPr>
        <w:sz w:val="32"/>
      </w:rPr>
      <w:pict>
        <v:shape id="文本框 5" o:spid="_x0000_s3075"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path/>
          <v:fill on="f" focussize="0,0"/>
          <v:stroke on="f" joinstyle="miter"/>
          <v:imagedata o:title=""/>
          <o:lock v:ext="edit"/>
          <v:textbox inset="0mm,0mm,0mm,0mm" style="mso-fit-shape-to-text:t;">
            <w:txbxContent>
              <w:p>
                <w:pPr>
                  <w:pStyle w:val="16"/>
                  <w:jc w:val="center"/>
                </w:pPr>
                <w:r>
                  <w:rPr>
                    <w:rFonts w:hint="eastAsia"/>
                  </w:rPr>
                  <w:t xml:space="preserve">第 </w:t>
                </w:r>
                <w:r>
                  <w:fldChar w:fldCharType="begin"/>
                </w:r>
                <w:r>
                  <w:instrText xml:space="preserve"> PAGE  \* MERGEFORMAT </w:instrText>
                </w:r>
                <w:r>
                  <w:fldChar w:fldCharType="separate"/>
                </w:r>
                <w:r>
                  <w:t>20</w:t>
                </w:r>
                <w:r>
                  <w:fldChar w:fldCharType="end"/>
                </w:r>
                <w:r>
                  <w:rPr>
                    <w:rFonts w:hint="eastAsia"/>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sz w:val="28"/>
      </w:rPr>
      <w:pict>
        <v:shape id="文本框 6" o:spid="_x0000_s307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path/>
          <v:fill on="f" focussize="0,0"/>
          <v:stroke on="f" joinstyle="miter"/>
          <v:imagedata o:title=""/>
          <o:lock v:ext="edit"/>
          <v:textbox inset="0mm,0mm,0mm,0mm" style="mso-fit-shape-to-text:t;">
            <w:txbxContent>
              <w:p>
                <w:pPr>
                  <w:pStyle w:val="16"/>
                  <w:jc w:val="center"/>
                </w:pPr>
                <w:r>
                  <w:rPr>
                    <w:rFonts w:hint="eastAsia"/>
                  </w:rPr>
                  <w:t xml:space="preserve">第 </w:t>
                </w:r>
                <w:r>
                  <w:fldChar w:fldCharType="begin"/>
                </w:r>
                <w:r>
                  <w:instrText xml:space="preserve"> PAGE  \* MERGEFORMAT </w:instrText>
                </w:r>
                <w:r>
                  <w:fldChar w:fldCharType="separate"/>
                </w:r>
                <w:r>
                  <w:t>22</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30"/>
      </w:rPr>
    </w:pPr>
    <w:r>
      <w:fldChar w:fldCharType="begin"/>
    </w:r>
    <w:r>
      <w:rPr>
        <w:rStyle w:val="30"/>
      </w:rPr>
      <w:instrText xml:space="preserve">PAGE  </w:instrText>
    </w:r>
    <w:r>
      <w:fldChar w:fldCharType="end"/>
    </w:r>
  </w:p>
  <w:p>
    <w:pPr>
      <w:pStyle w:val="1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宋体" w:hAnsi="宋体"/>
        <w:sz w:val="28"/>
        <w:szCs w:val="28"/>
      </w:rPr>
    </w:pPr>
    <w:r>
      <w:rPr>
        <w:sz w:val="28"/>
      </w:rPr>
      <w:pict>
        <v:shape id="文本框 7" o:spid="_x0000_s3077"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path/>
          <v:fill on="f" focussize="0,0"/>
          <v:stroke on="f" joinstyle="miter"/>
          <v:imagedata o:title=""/>
          <o:lock v:ext="edit"/>
          <v:textbox inset="0mm,0mm,0mm,0mm" style="mso-fit-shape-to-text:t;">
            <w:txbxContent>
              <w:p>
                <w:pPr>
                  <w:pStyle w:val="16"/>
                  <w:jc w:val="center"/>
                </w:pPr>
                <w:r>
                  <w:rPr>
                    <w:rFonts w:hint="eastAsia"/>
                  </w:rPr>
                  <w:t xml:space="preserve">第 </w:t>
                </w:r>
                <w:r>
                  <w:fldChar w:fldCharType="begin"/>
                </w:r>
                <w:r>
                  <w:instrText xml:space="preserve"> PAGE  \* MERGEFORMAT </w:instrText>
                </w:r>
                <w:r>
                  <w:fldChar w:fldCharType="separate"/>
                </w:r>
                <w:r>
                  <w:t>26</w:t>
                </w:r>
                <w:r>
                  <w:fldChar w:fldCharType="end"/>
                </w:r>
                <w:r>
                  <w:rPr>
                    <w:rFonts w:hint="eastAsia"/>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0"/>
      </w:rPr>
    </w:pPr>
    <w:r>
      <w:fldChar w:fldCharType="begin"/>
    </w:r>
    <w:r>
      <w:rPr>
        <w:rStyle w:val="30"/>
      </w:rPr>
      <w:instrText xml:space="preserve">PAGE  </w:instrText>
    </w:r>
    <w:r>
      <w:fldChar w:fldCharType="separate"/>
    </w:r>
    <w:r>
      <w:rPr>
        <w:rStyle w:val="30"/>
      </w:rPr>
      <w:t>3</w:t>
    </w:r>
    <w:r>
      <w:fldChar w:fldCharType="end"/>
    </w:r>
  </w:p>
  <w:p>
    <w:pPr>
      <w:pStyle w:val="16"/>
      <w:ind w:right="357"/>
      <w:jc w:val="both"/>
    </w:pPr>
    <w:r>
      <w:rPr>
        <w:rFonts w:hint="eastAsia"/>
        <w:kern w:val="0"/>
        <w:szCs w:val="21"/>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30"/>
      </w:rPr>
    </w:pPr>
    <w:r>
      <w:fldChar w:fldCharType="begin"/>
    </w:r>
    <w:r>
      <w:rPr>
        <w:rStyle w:val="30"/>
      </w:rPr>
      <w:instrText xml:space="preserve">PAGE  </w:instrText>
    </w:r>
    <w:r>
      <w:fldChar w:fldCharType="separate"/>
    </w:r>
    <w:r>
      <w:rPr>
        <w:rStyle w:val="30"/>
      </w:rPr>
      <w:t>1</w:t>
    </w:r>
    <w:r>
      <w:fldChar w:fldCharType="end"/>
    </w: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82E"/>
    <w:multiLevelType w:val="singleLevel"/>
    <w:tmpl w:val="0FFB582E"/>
    <w:lvl w:ilvl="0" w:tentative="0">
      <w:start w:val="3"/>
      <w:numFmt w:val="chineseCounting"/>
      <w:suff w:val="space"/>
      <w:lvlText w:val="第%1章"/>
      <w:lvlJc w:val="left"/>
      <w:rPr>
        <w:rFonts w:hint="eastAsia"/>
      </w:rPr>
    </w:lvl>
  </w:abstractNum>
  <w:abstractNum w:abstractNumId="1">
    <w:nsid w:val="630C1BC3"/>
    <w:multiLevelType w:val="multilevel"/>
    <w:tmpl w:val="630C1BC3"/>
    <w:lvl w:ilvl="0" w:tentative="0">
      <w:start w:val="1"/>
      <w:numFmt w:val="decimal"/>
      <w:lvlText w:val="%1."/>
      <w:lvlJc w:val="left"/>
      <w:pPr>
        <w:tabs>
          <w:tab w:val="left" w:pos="510"/>
        </w:tabs>
        <w:ind w:left="510" w:hanging="360"/>
      </w:pPr>
      <w:rPr>
        <w:rFonts w:hint="eastAsia"/>
      </w:rPr>
    </w:lvl>
    <w:lvl w:ilvl="1" w:tentative="0">
      <w:start w:val="1"/>
      <w:numFmt w:val="decimal"/>
      <w:lvlText w:val="%2．"/>
      <w:lvlJc w:val="left"/>
      <w:pPr>
        <w:tabs>
          <w:tab w:val="left" w:pos="1290"/>
        </w:tabs>
        <w:ind w:left="1290" w:hanging="720"/>
      </w:pPr>
      <w:rPr>
        <w:rFonts w:hint="eastAsia"/>
      </w:rPr>
    </w:lvl>
    <w:lvl w:ilvl="2" w:tentative="0">
      <w:start w:val="3"/>
      <w:numFmt w:val="decimal"/>
      <w:lvlText w:val="（%3）"/>
      <w:lvlJc w:val="left"/>
      <w:pPr>
        <w:tabs>
          <w:tab w:val="left" w:pos="1140"/>
        </w:tabs>
        <w:ind w:left="1140" w:hanging="720"/>
      </w:pPr>
      <w:rPr>
        <w:rFonts w:hint="eastAsia"/>
        <w:lang w:val="en-US"/>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r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abstractNum w:abstractNumId="2">
    <w:nsid w:val="631A45D9"/>
    <w:multiLevelType w:val="singleLevel"/>
    <w:tmpl w:val="631A45D9"/>
    <w:lvl w:ilvl="0" w:tentative="0">
      <w:start w:val="2"/>
      <w:numFmt w:val="decimal"/>
      <w:lvlText w:val="%1."/>
      <w:lvlJc w:val="left"/>
      <w:pPr>
        <w:tabs>
          <w:tab w:val="left" w:pos="312"/>
        </w:tabs>
      </w:pPr>
    </w:lvl>
  </w:abstractNum>
  <w:abstractNum w:abstractNumId="3">
    <w:nsid w:val="6EE101FC"/>
    <w:multiLevelType w:val="singleLevel"/>
    <w:tmpl w:val="6EE101FC"/>
    <w:lvl w:ilvl="0" w:tentative="0">
      <w:start w:val="1"/>
      <w:numFmt w:val="decimal"/>
      <w:lvlText w:val="%1．"/>
      <w:lvlJc w:val="left"/>
      <w:pPr>
        <w:tabs>
          <w:tab w:val="left" w:pos="570"/>
        </w:tabs>
        <w:ind w:left="570" w:hanging="42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5"/>
  <w:drawingGridHorizontalSpacing w:val="105"/>
  <w:drawingGridVerticalSpacing w:val="156"/>
  <w:displayHorizontalDrawingGridEvery w:val="0"/>
  <w:displayVerticalDrawingGridEvery w:val="2"/>
  <w:characterSpacingControl w:val="compressPunctuation"/>
  <w:hdrShapeDefaults>
    <o:shapelayout v:ext="edit">
      <o:idmap v:ext="edit" data="2,3"/>
    </o:shapelayout>
  </w:hdrShapeDefault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YzZTk3ZDExOGU0MDM4YTRhZWM5ODg5NzhlZmVlMDEifQ=="/>
  </w:docVars>
  <w:rsids>
    <w:rsidRoot w:val="006B5D15"/>
    <w:rsid w:val="00001179"/>
    <w:rsid w:val="000060B8"/>
    <w:rsid w:val="00006148"/>
    <w:rsid w:val="00010558"/>
    <w:rsid w:val="000109AA"/>
    <w:rsid w:val="00010B43"/>
    <w:rsid w:val="00010B6D"/>
    <w:rsid w:val="00011BC4"/>
    <w:rsid w:val="00011EE9"/>
    <w:rsid w:val="00015E67"/>
    <w:rsid w:val="00016293"/>
    <w:rsid w:val="0001644E"/>
    <w:rsid w:val="00016838"/>
    <w:rsid w:val="00020DF5"/>
    <w:rsid w:val="00021102"/>
    <w:rsid w:val="0002424E"/>
    <w:rsid w:val="000242D9"/>
    <w:rsid w:val="00025E74"/>
    <w:rsid w:val="00026A53"/>
    <w:rsid w:val="0003032C"/>
    <w:rsid w:val="00030A4B"/>
    <w:rsid w:val="00031D96"/>
    <w:rsid w:val="00032817"/>
    <w:rsid w:val="000343A6"/>
    <w:rsid w:val="00036F83"/>
    <w:rsid w:val="000406DE"/>
    <w:rsid w:val="000415B8"/>
    <w:rsid w:val="00043066"/>
    <w:rsid w:val="000434D4"/>
    <w:rsid w:val="000463C0"/>
    <w:rsid w:val="00046839"/>
    <w:rsid w:val="00046DC7"/>
    <w:rsid w:val="0005094C"/>
    <w:rsid w:val="00052229"/>
    <w:rsid w:val="0005265C"/>
    <w:rsid w:val="00057DE3"/>
    <w:rsid w:val="00062209"/>
    <w:rsid w:val="00072C76"/>
    <w:rsid w:val="00072CFF"/>
    <w:rsid w:val="00072D31"/>
    <w:rsid w:val="00074384"/>
    <w:rsid w:val="000746ED"/>
    <w:rsid w:val="00074C42"/>
    <w:rsid w:val="000753C4"/>
    <w:rsid w:val="00077C04"/>
    <w:rsid w:val="0008053B"/>
    <w:rsid w:val="00083217"/>
    <w:rsid w:val="00085BCE"/>
    <w:rsid w:val="000864B1"/>
    <w:rsid w:val="00086EA4"/>
    <w:rsid w:val="00090833"/>
    <w:rsid w:val="000916FA"/>
    <w:rsid w:val="000965BD"/>
    <w:rsid w:val="00097A09"/>
    <w:rsid w:val="000A2C7D"/>
    <w:rsid w:val="000A40D0"/>
    <w:rsid w:val="000A5B02"/>
    <w:rsid w:val="000A6CBA"/>
    <w:rsid w:val="000A7097"/>
    <w:rsid w:val="000A719E"/>
    <w:rsid w:val="000A7624"/>
    <w:rsid w:val="000A7AC2"/>
    <w:rsid w:val="000B090A"/>
    <w:rsid w:val="000B3969"/>
    <w:rsid w:val="000B3C01"/>
    <w:rsid w:val="000B3E8D"/>
    <w:rsid w:val="000B690F"/>
    <w:rsid w:val="000B6C53"/>
    <w:rsid w:val="000C06FE"/>
    <w:rsid w:val="000C27BA"/>
    <w:rsid w:val="000C35FC"/>
    <w:rsid w:val="000C3F24"/>
    <w:rsid w:val="000C4915"/>
    <w:rsid w:val="000C4B49"/>
    <w:rsid w:val="000C4F09"/>
    <w:rsid w:val="000C5CB4"/>
    <w:rsid w:val="000C5FC8"/>
    <w:rsid w:val="000C70CE"/>
    <w:rsid w:val="000D1AC4"/>
    <w:rsid w:val="000D24A4"/>
    <w:rsid w:val="000D3858"/>
    <w:rsid w:val="000D43C1"/>
    <w:rsid w:val="000E0E42"/>
    <w:rsid w:val="000E1B70"/>
    <w:rsid w:val="000E27FA"/>
    <w:rsid w:val="000E2DFE"/>
    <w:rsid w:val="000E44A7"/>
    <w:rsid w:val="000E600F"/>
    <w:rsid w:val="000F0718"/>
    <w:rsid w:val="000F4F5F"/>
    <w:rsid w:val="000F747E"/>
    <w:rsid w:val="000F7B6E"/>
    <w:rsid w:val="00101379"/>
    <w:rsid w:val="001022EA"/>
    <w:rsid w:val="00102694"/>
    <w:rsid w:val="00102756"/>
    <w:rsid w:val="001045BA"/>
    <w:rsid w:val="00111C49"/>
    <w:rsid w:val="00112BE7"/>
    <w:rsid w:val="00112DEB"/>
    <w:rsid w:val="001131E7"/>
    <w:rsid w:val="00113869"/>
    <w:rsid w:val="00115EBF"/>
    <w:rsid w:val="0011664A"/>
    <w:rsid w:val="00121181"/>
    <w:rsid w:val="00123117"/>
    <w:rsid w:val="00126D4C"/>
    <w:rsid w:val="00130D85"/>
    <w:rsid w:val="00131BED"/>
    <w:rsid w:val="00132AD2"/>
    <w:rsid w:val="00133771"/>
    <w:rsid w:val="001357A0"/>
    <w:rsid w:val="00136D54"/>
    <w:rsid w:val="00136E35"/>
    <w:rsid w:val="00140D5B"/>
    <w:rsid w:val="00140F09"/>
    <w:rsid w:val="001416E5"/>
    <w:rsid w:val="00141A2F"/>
    <w:rsid w:val="00142872"/>
    <w:rsid w:val="00143BD4"/>
    <w:rsid w:val="00144245"/>
    <w:rsid w:val="0014686F"/>
    <w:rsid w:val="00147C23"/>
    <w:rsid w:val="00147E4B"/>
    <w:rsid w:val="00154221"/>
    <w:rsid w:val="0015740D"/>
    <w:rsid w:val="00160003"/>
    <w:rsid w:val="001630D0"/>
    <w:rsid w:val="001652B0"/>
    <w:rsid w:val="001675A5"/>
    <w:rsid w:val="00171FEB"/>
    <w:rsid w:val="00172565"/>
    <w:rsid w:val="00172CFC"/>
    <w:rsid w:val="00174D6A"/>
    <w:rsid w:val="00174E9D"/>
    <w:rsid w:val="00175664"/>
    <w:rsid w:val="0018180B"/>
    <w:rsid w:val="00185D0C"/>
    <w:rsid w:val="001876E3"/>
    <w:rsid w:val="00191BA7"/>
    <w:rsid w:val="001924FF"/>
    <w:rsid w:val="00195456"/>
    <w:rsid w:val="00195D96"/>
    <w:rsid w:val="001970FC"/>
    <w:rsid w:val="001A30F0"/>
    <w:rsid w:val="001A3356"/>
    <w:rsid w:val="001A46F4"/>
    <w:rsid w:val="001A5D9D"/>
    <w:rsid w:val="001B05E5"/>
    <w:rsid w:val="001B247F"/>
    <w:rsid w:val="001B4C3E"/>
    <w:rsid w:val="001B54BB"/>
    <w:rsid w:val="001B5CD2"/>
    <w:rsid w:val="001B6C68"/>
    <w:rsid w:val="001C022F"/>
    <w:rsid w:val="001C2BA5"/>
    <w:rsid w:val="001C4395"/>
    <w:rsid w:val="001C50F0"/>
    <w:rsid w:val="001D0266"/>
    <w:rsid w:val="001D2EE6"/>
    <w:rsid w:val="001D5B39"/>
    <w:rsid w:val="001D6680"/>
    <w:rsid w:val="001D6799"/>
    <w:rsid w:val="001D75FA"/>
    <w:rsid w:val="001E0732"/>
    <w:rsid w:val="001E1406"/>
    <w:rsid w:val="001E171E"/>
    <w:rsid w:val="001E23EC"/>
    <w:rsid w:val="001E3832"/>
    <w:rsid w:val="001E6EB3"/>
    <w:rsid w:val="001E7D5F"/>
    <w:rsid w:val="001F2060"/>
    <w:rsid w:val="001F2DB1"/>
    <w:rsid w:val="001F331C"/>
    <w:rsid w:val="001F3AEB"/>
    <w:rsid w:val="001F3CE9"/>
    <w:rsid w:val="001F55BC"/>
    <w:rsid w:val="001F6800"/>
    <w:rsid w:val="001F7D1E"/>
    <w:rsid w:val="001F7FEF"/>
    <w:rsid w:val="002021EA"/>
    <w:rsid w:val="0020475E"/>
    <w:rsid w:val="002065F5"/>
    <w:rsid w:val="0021193E"/>
    <w:rsid w:val="0021474B"/>
    <w:rsid w:val="00217C23"/>
    <w:rsid w:val="00223694"/>
    <w:rsid w:val="00223E59"/>
    <w:rsid w:val="00224C09"/>
    <w:rsid w:val="002264D9"/>
    <w:rsid w:val="002356A9"/>
    <w:rsid w:val="002369A6"/>
    <w:rsid w:val="002372CE"/>
    <w:rsid w:val="00241E73"/>
    <w:rsid w:val="0024320E"/>
    <w:rsid w:val="00245AEC"/>
    <w:rsid w:val="00245FE3"/>
    <w:rsid w:val="00247A4C"/>
    <w:rsid w:val="00251627"/>
    <w:rsid w:val="00252C09"/>
    <w:rsid w:val="00252CFD"/>
    <w:rsid w:val="00254EEB"/>
    <w:rsid w:val="00261265"/>
    <w:rsid w:val="0026152F"/>
    <w:rsid w:val="00261DBD"/>
    <w:rsid w:val="00261FD6"/>
    <w:rsid w:val="0026299E"/>
    <w:rsid w:val="00263A02"/>
    <w:rsid w:val="00265ACA"/>
    <w:rsid w:val="00267085"/>
    <w:rsid w:val="00271480"/>
    <w:rsid w:val="00272CDF"/>
    <w:rsid w:val="0027355A"/>
    <w:rsid w:val="002740F5"/>
    <w:rsid w:val="00274C2B"/>
    <w:rsid w:val="00275A2D"/>
    <w:rsid w:val="00276548"/>
    <w:rsid w:val="00276B4E"/>
    <w:rsid w:val="00276BDB"/>
    <w:rsid w:val="0028433F"/>
    <w:rsid w:val="00285E2C"/>
    <w:rsid w:val="00285ED0"/>
    <w:rsid w:val="002868C7"/>
    <w:rsid w:val="00287882"/>
    <w:rsid w:val="00287AAF"/>
    <w:rsid w:val="00290513"/>
    <w:rsid w:val="00290B2B"/>
    <w:rsid w:val="00291FB2"/>
    <w:rsid w:val="0029287D"/>
    <w:rsid w:val="002A4BEB"/>
    <w:rsid w:val="002A7AEA"/>
    <w:rsid w:val="002B31E7"/>
    <w:rsid w:val="002B5DE3"/>
    <w:rsid w:val="002B6105"/>
    <w:rsid w:val="002B632C"/>
    <w:rsid w:val="002B7878"/>
    <w:rsid w:val="002C11FC"/>
    <w:rsid w:val="002C1674"/>
    <w:rsid w:val="002C180A"/>
    <w:rsid w:val="002C2DD8"/>
    <w:rsid w:val="002C4704"/>
    <w:rsid w:val="002C789C"/>
    <w:rsid w:val="002D2423"/>
    <w:rsid w:val="002D3BDD"/>
    <w:rsid w:val="002D68B3"/>
    <w:rsid w:val="002D6D8B"/>
    <w:rsid w:val="002D6FE4"/>
    <w:rsid w:val="002D716E"/>
    <w:rsid w:val="002E0274"/>
    <w:rsid w:val="002E0B27"/>
    <w:rsid w:val="002E4ADE"/>
    <w:rsid w:val="002E6D92"/>
    <w:rsid w:val="002F24F0"/>
    <w:rsid w:val="002F2FD0"/>
    <w:rsid w:val="002F33F0"/>
    <w:rsid w:val="002F4753"/>
    <w:rsid w:val="0030122F"/>
    <w:rsid w:val="003022EF"/>
    <w:rsid w:val="003045EC"/>
    <w:rsid w:val="00305390"/>
    <w:rsid w:val="00307088"/>
    <w:rsid w:val="00307E43"/>
    <w:rsid w:val="00311D26"/>
    <w:rsid w:val="00311F3C"/>
    <w:rsid w:val="00312CF0"/>
    <w:rsid w:val="0032319B"/>
    <w:rsid w:val="003249A5"/>
    <w:rsid w:val="003254EA"/>
    <w:rsid w:val="00325873"/>
    <w:rsid w:val="003317CB"/>
    <w:rsid w:val="00331FCE"/>
    <w:rsid w:val="00332FD1"/>
    <w:rsid w:val="00333DC8"/>
    <w:rsid w:val="00343A5F"/>
    <w:rsid w:val="00346099"/>
    <w:rsid w:val="003475BE"/>
    <w:rsid w:val="00352DB8"/>
    <w:rsid w:val="0035465A"/>
    <w:rsid w:val="003548CC"/>
    <w:rsid w:val="00355052"/>
    <w:rsid w:val="00361B16"/>
    <w:rsid w:val="00362995"/>
    <w:rsid w:val="003629A8"/>
    <w:rsid w:val="00362A3D"/>
    <w:rsid w:val="00363972"/>
    <w:rsid w:val="0036399C"/>
    <w:rsid w:val="00364369"/>
    <w:rsid w:val="0036575B"/>
    <w:rsid w:val="003662AE"/>
    <w:rsid w:val="00374E2E"/>
    <w:rsid w:val="00374F9B"/>
    <w:rsid w:val="00381F9C"/>
    <w:rsid w:val="003823AD"/>
    <w:rsid w:val="00382A95"/>
    <w:rsid w:val="00383B0F"/>
    <w:rsid w:val="00385346"/>
    <w:rsid w:val="003865AD"/>
    <w:rsid w:val="0039085C"/>
    <w:rsid w:val="0039239A"/>
    <w:rsid w:val="00395725"/>
    <w:rsid w:val="003967DE"/>
    <w:rsid w:val="003A351E"/>
    <w:rsid w:val="003A4019"/>
    <w:rsid w:val="003A44B1"/>
    <w:rsid w:val="003A68C1"/>
    <w:rsid w:val="003B1BF5"/>
    <w:rsid w:val="003B1F9C"/>
    <w:rsid w:val="003B20DB"/>
    <w:rsid w:val="003B2B06"/>
    <w:rsid w:val="003B304C"/>
    <w:rsid w:val="003B5943"/>
    <w:rsid w:val="003B76A2"/>
    <w:rsid w:val="003C1B3F"/>
    <w:rsid w:val="003C311A"/>
    <w:rsid w:val="003C78E3"/>
    <w:rsid w:val="003D1309"/>
    <w:rsid w:val="003D1F2E"/>
    <w:rsid w:val="003D248F"/>
    <w:rsid w:val="003D2F59"/>
    <w:rsid w:val="003D3DBA"/>
    <w:rsid w:val="003D4FB6"/>
    <w:rsid w:val="003D5351"/>
    <w:rsid w:val="003D72E0"/>
    <w:rsid w:val="003E0BAC"/>
    <w:rsid w:val="003E1976"/>
    <w:rsid w:val="003E2FA4"/>
    <w:rsid w:val="003E3782"/>
    <w:rsid w:val="003E3A1E"/>
    <w:rsid w:val="003E3C0A"/>
    <w:rsid w:val="003E69A7"/>
    <w:rsid w:val="003F0508"/>
    <w:rsid w:val="003F0634"/>
    <w:rsid w:val="003F0F4E"/>
    <w:rsid w:val="003F225B"/>
    <w:rsid w:val="003F4EFF"/>
    <w:rsid w:val="003F5CAE"/>
    <w:rsid w:val="003F5F2F"/>
    <w:rsid w:val="00403703"/>
    <w:rsid w:val="004053D9"/>
    <w:rsid w:val="0040612A"/>
    <w:rsid w:val="00410750"/>
    <w:rsid w:val="00410D94"/>
    <w:rsid w:val="00413D68"/>
    <w:rsid w:val="00413DA1"/>
    <w:rsid w:val="00414AEB"/>
    <w:rsid w:val="00414ECA"/>
    <w:rsid w:val="00415908"/>
    <w:rsid w:val="0041657F"/>
    <w:rsid w:val="00417909"/>
    <w:rsid w:val="00420128"/>
    <w:rsid w:val="00420409"/>
    <w:rsid w:val="00420A46"/>
    <w:rsid w:val="00424361"/>
    <w:rsid w:val="00424889"/>
    <w:rsid w:val="004275C5"/>
    <w:rsid w:val="0043330F"/>
    <w:rsid w:val="004336C3"/>
    <w:rsid w:val="004374F4"/>
    <w:rsid w:val="00437F24"/>
    <w:rsid w:val="00441003"/>
    <w:rsid w:val="0044179C"/>
    <w:rsid w:val="0044268C"/>
    <w:rsid w:val="004428F2"/>
    <w:rsid w:val="00442B60"/>
    <w:rsid w:val="00443301"/>
    <w:rsid w:val="00445848"/>
    <w:rsid w:val="004463CE"/>
    <w:rsid w:val="0044700A"/>
    <w:rsid w:val="0044737B"/>
    <w:rsid w:val="00447C83"/>
    <w:rsid w:val="00453B8A"/>
    <w:rsid w:val="00461DA9"/>
    <w:rsid w:val="00462FAD"/>
    <w:rsid w:val="00463453"/>
    <w:rsid w:val="00464D79"/>
    <w:rsid w:val="00467140"/>
    <w:rsid w:val="00467983"/>
    <w:rsid w:val="00470578"/>
    <w:rsid w:val="0047540C"/>
    <w:rsid w:val="00475427"/>
    <w:rsid w:val="00476454"/>
    <w:rsid w:val="00477580"/>
    <w:rsid w:val="00477CAF"/>
    <w:rsid w:val="00480E4A"/>
    <w:rsid w:val="004811AD"/>
    <w:rsid w:val="00483364"/>
    <w:rsid w:val="00483698"/>
    <w:rsid w:val="00483B21"/>
    <w:rsid w:val="00483B87"/>
    <w:rsid w:val="004853C2"/>
    <w:rsid w:val="0049000D"/>
    <w:rsid w:val="004911ED"/>
    <w:rsid w:val="00492D88"/>
    <w:rsid w:val="00494BDF"/>
    <w:rsid w:val="00496430"/>
    <w:rsid w:val="004A0E6B"/>
    <w:rsid w:val="004A2830"/>
    <w:rsid w:val="004A30DC"/>
    <w:rsid w:val="004A5094"/>
    <w:rsid w:val="004A520E"/>
    <w:rsid w:val="004A523D"/>
    <w:rsid w:val="004A5B14"/>
    <w:rsid w:val="004B06AF"/>
    <w:rsid w:val="004B1521"/>
    <w:rsid w:val="004B153A"/>
    <w:rsid w:val="004B2708"/>
    <w:rsid w:val="004B2D97"/>
    <w:rsid w:val="004B4AE5"/>
    <w:rsid w:val="004B5AF6"/>
    <w:rsid w:val="004B6E0D"/>
    <w:rsid w:val="004C0C28"/>
    <w:rsid w:val="004C12BB"/>
    <w:rsid w:val="004C24AA"/>
    <w:rsid w:val="004C2FC8"/>
    <w:rsid w:val="004C34EE"/>
    <w:rsid w:val="004C4115"/>
    <w:rsid w:val="004D181E"/>
    <w:rsid w:val="004D26DB"/>
    <w:rsid w:val="004D3796"/>
    <w:rsid w:val="004D4ACA"/>
    <w:rsid w:val="004D6910"/>
    <w:rsid w:val="004E07B9"/>
    <w:rsid w:val="004E1199"/>
    <w:rsid w:val="004E2177"/>
    <w:rsid w:val="004E2D95"/>
    <w:rsid w:val="004F282E"/>
    <w:rsid w:val="004F3678"/>
    <w:rsid w:val="004F483E"/>
    <w:rsid w:val="004F5A1E"/>
    <w:rsid w:val="004F5B1A"/>
    <w:rsid w:val="00500D6B"/>
    <w:rsid w:val="0050126E"/>
    <w:rsid w:val="00501AFF"/>
    <w:rsid w:val="0050530F"/>
    <w:rsid w:val="00505D89"/>
    <w:rsid w:val="00510E3C"/>
    <w:rsid w:val="0051262E"/>
    <w:rsid w:val="00512D38"/>
    <w:rsid w:val="005156D7"/>
    <w:rsid w:val="00515EFD"/>
    <w:rsid w:val="00517A1A"/>
    <w:rsid w:val="00520BF9"/>
    <w:rsid w:val="005214DD"/>
    <w:rsid w:val="00521A66"/>
    <w:rsid w:val="00521B45"/>
    <w:rsid w:val="0052244A"/>
    <w:rsid w:val="00527244"/>
    <w:rsid w:val="005321A0"/>
    <w:rsid w:val="00533A7D"/>
    <w:rsid w:val="00535D52"/>
    <w:rsid w:val="00536556"/>
    <w:rsid w:val="005374A0"/>
    <w:rsid w:val="00540E94"/>
    <w:rsid w:val="005417B9"/>
    <w:rsid w:val="00544318"/>
    <w:rsid w:val="005443F9"/>
    <w:rsid w:val="00545CE5"/>
    <w:rsid w:val="00545CFC"/>
    <w:rsid w:val="00546C5D"/>
    <w:rsid w:val="00546EBC"/>
    <w:rsid w:val="005475EE"/>
    <w:rsid w:val="00547B5F"/>
    <w:rsid w:val="00550C50"/>
    <w:rsid w:val="00550C6A"/>
    <w:rsid w:val="00551984"/>
    <w:rsid w:val="00552E41"/>
    <w:rsid w:val="005533EC"/>
    <w:rsid w:val="00557C64"/>
    <w:rsid w:val="005615F0"/>
    <w:rsid w:val="00566F23"/>
    <w:rsid w:val="00570ABD"/>
    <w:rsid w:val="00571BA5"/>
    <w:rsid w:val="00575183"/>
    <w:rsid w:val="00581314"/>
    <w:rsid w:val="00581D60"/>
    <w:rsid w:val="00582334"/>
    <w:rsid w:val="00584514"/>
    <w:rsid w:val="005875FE"/>
    <w:rsid w:val="00592627"/>
    <w:rsid w:val="00594CF6"/>
    <w:rsid w:val="00595E63"/>
    <w:rsid w:val="00595F8E"/>
    <w:rsid w:val="005A1225"/>
    <w:rsid w:val="005A1F93"/>
    <w:rsid w:val="005A4457"/>
    <w:rsid w:val="005A51FD"/>
    <w:rsid w:val="005A6061"/>
    <w:rsid w:val="005A6F9B"/>
    <w:rsid w:val="005B29BE"/>
    <w:rsid w:val="005B315C"/>
    <w:rsid w:val="005B6855"/>
    <w:rsid w:val="005C0706"/>
    <w:rsid w:val="005C1C76"/>
    <w:rsid w:val="005C243C"/>
    <w:rsid w:val="005C5D90"/>
    <w:rsid w:val="005C661B"/>
    <w:rsid w:val="005C70A9"/>
    <w:rsid w:val="005C7DEE"/>
    <w:rsid w:val="005D1BE3"/>
    <w:rsid w:val="005D30A9"/>
    <w:rsid w:val="005D535E"/>
    <w:rsid w:val="005E092B"/>
    <w:rsid w:val="005E18FF"/>
    <w:rsid w:val="005E3743"/>
    <w:rsid w:val="005E72B8"/>
    <w:rsid w:val="005E7B50"/>
    <w:rsid w:val="005F2EF7"/>
    <w:rsid w:val="005F2F8C"/>
    <w:rsid w:val="005F619F"/>
    <w:rsid w:val="005F6884"/>
    <w:rsid w:val="005F7885"/>
    <w:rsid w:val="00605101"/>
    <w:rsid w:val="00605FDC"/>
    <w:rsid w:val="00606916"/>
    <w:rsid w:val="00610BAE"/>
    <w:rsid w:val="00612854"/>
    <w:rsid w:val="0061456E"/>
    <w:rsid w:val="006208C4"/>
    <w:rsid w:val="00621E08"/>
    <w:rsid w:val="006221C4"/>
    <w:rsid w:val="00624A56"/>
    <w:rsid w:val="00624EEE"/>
    <w:rsid w:val="00624F8A"/>
    <w:rsid w:val="00633692"/>
    <w:rsid w:val="00633F9C"/>
    <w:rsid w:val="00635C33"/>
    <w:rsid w:val="00635E64"/>
    <w:rsid w:val="00637D74"/>
    <w:rsid w:val="00641A2B"/>
    <w:rsid w:val="006420A1"/>
    <w:rsid w:val="00643D69"/>
    <w:rsid w:val="00644881"/>
    <w:rsid w:val="006473D7"/>
    <w:rsid w:val="00651464"/>
    <w:rsid w:val="00651A1E"/>
    <w:rsid w:val="00653CDA"/>
    <w:rsid w:val="006573F6"/>
    <w:rsid w:val="0065743F"/>
    <w:rsid w:val="00664B08"/>
    <w:rsid w:val="00664BDE"/>
    <w:rsid w:val="006724BA"/>
    <w:rsid w:val="0067324E"/>
    <w:rsid w:val="00673F66"/>
    <w:rsid w:val="00681A2E"/>
    <w:rsid w:val="006844A6"/>
    <w:rsid w:val="00684A79"/>
    <w:rsid w:val="00685C4D"/>
    <w:rsid w:val="00686829"/>
    <w:rsid w:val="00686DEF"/>
    <w:rsid w:val="00690E63"/>
    <w:rsid w:val="0069280D"/>
    <w:rsid w:val="0069470E"/>
    <w:rsid w:val="00694887"/>
    <w:rsid w:val="006960DE"/>
    <w:rsid w:val="00696740"/>
    <w:rsid w:val="00696972"/>
    <w:rsid w:val="006A161F"/>
    <w:rsid w:val="006A41BB"/>
    <w:rsid w:val="006A4459"/>
    <w:rsid w:val="006A4607"/>
    <w:rsid w:val="006B1C25"/>
    <w:rsid w:val="006B26AE"/>
    <w:rsid w:val="006B528C"/>
    <w:rsid w:val="006B5D15"/>
    <w:rsid w:val="006B60BC"/>
    <w:rsid w:val="006B78E4"/>
    <w:rsid w:val="006C1CB4"/>
    <w:rsid w:val="006C23BB"/>
    <w:rsid w:val="006C2A7A"/>
    <w:rsid w:val="006C3DE8"/>
    <w:rsid w:val="006C3F1C"/>
    <w:rsid w:val="006D0008"/>
    <w:rsid w:val="006D2ED2"/>
    <w:rsid w:val="006D4B06"/>
    <w:rsid w:val="006D4C88"/>
    <w:rsid w:val="006D5F76"/>
    <w:rsid w:val="006E07D0"/>
    <w:rsid w:val="006E14C3"/>
    <w:rsid w:val="006E4463"/>
    <w:rsid w:val="006E4727"/>
    <w:rsid w:val="006F0204"/>
    <w:rsid w:val="006F0D9A"/>
    <w:rsid w:val="006F4A62"/>
    <w:rsid w:val="006F76D6"/>
    <w:rsid w:val="00700120"/>
    <w:rsid w:val="0070203B"/>
    <w:rsid w:val="0070229C"/>
    <w:rsid w:val="007035EB"/>
    <w:rsid w:val="00705E83"/>
    <w:rsid w:val="00707FF4"/>
    <w:rsid w:val="00714847"/>
    <w:rsid w:val="00714B72"/>
    <w:rsid w:val="0072138C"/>
    <w:rsid w:val="007214FE"/>
    <w:rsid w:val="00721863"/>
    <w:rsid w:val="00721E89"/>
    <w:rsid w:val="007223E5"/>
    <w:rsid w:val="0072240F"/>
    <w:rsid w:val="00722AB1"/>
    <w:rsid w:val="007239D9"/>
    <w:rsid w:val="00724DF1"/>
    <w:rsid w:val="00725A60"/>
    <w:rsid w:val="00726C7D"/>
    <w:rsid w:val="007305F8"/>
    <w:rsid w:val="0073142C"/>
    <w:rsid w:val="00731CCC"/>
    <w:rsid w:val="007326AB"/>
    <w:rsid w:val="007332A4"/>
    <w:rsid w:val="007352EC"/>
    <w:rsid w:val="007354A7"/>
    <w:rsid w:val="007357F5"/>
    <w:rsid w:val="007401D1"/>
    <w:rsid w:val="007416BB"/>
    <w:rsid w:val="0074243D"/>
    <w:rsid w:val="0074270D"/>
    <w:rsid w:val="007428FC"/>
    <w:rsid w:val="00745BC2"/>
    <w:rsid w:val="007537CB"/>
    <w:rsid w:val="007545AF"/>
    <w:rsid w:val="007552C4"/>
    <w:rsid w:val="00755CF0"/>
    <w:rsid w:val="00757350"/>
    <w:rsid w:val="00757ED6"/>
    <w:rsid w:val="00762BD3"/>
    <w:rsid w:val="00764174"/>
    <w:rsid w:val="007646DE"/>
    <w:rsid w:val="00766261"/>
    <w:rsid w:val="0076697A"/>
    <w:rsid w:val="00766DD9"/>
    <w:rsid w:val="00767784"/>
    <w:rsid w:val="00774F23"/>
    <w:rsid w:val="007751FD"/>
    <w:rsid w:val="00776FDE"/>
    <w:rsid w:val="0077786A"/>
    <w:rsid w:val="00780706"/>
    <w:rsid w:val="00785325"/>
    <w:rsid w:val="00785BF5"/>
    <w:rsid w:val="007879DC"/>
    <w:rsid w:val="00790794"/>
    <w:rsid w:val="007911DA"/>
    <w:rsid w:val="007919C0"/>
    <w:rsid w:val="007953FD"/>
    <w:rsid w:val="007A003B"/>
    <w:rsid w:val="007A112A"/>
    <w:rsid w:val="007A2E4B"/>
    <w:rsid w:val="007A32F4"/>
    <w:rsid w:val="007A5A40"/>
    <w:rsid w:val="007A6026"/>
    <w:rsid w:val="007A62AC"/>
    <w:rsid w:val="007A7213"/>
    <w:rsid w:val="007B08EB"/>
    <w:rsid w:val="007B4000"/>
    <w:rsid w:val="007B78A0"/>
    <w:rsid w:val="007C0DF8"/>
    <w:rsid w:val="007C17CC"/>
    <w:rsid w:val="007C3162"/>
    <w:rsid w:val="007C4C6E"/>
    <w:rsid w:val="007C7438"/>
    <w:rsid w:val="007C793A"/>
    <w:rsid w:val="007C7E83"/>
    <w:rsid w:val="007D06D0"/>
    <w:rsid w:val="007D0737"/>
    <w:rsid w:val="007D112C"/>
    <w:rsid w:val="007D1721"/>
    <w:rsid w:val="007D2085"/>
    <w:rsid w:val="007D2E50"/>
    <w:rsid w:val="007D3AAF"/>
    <w:rsid w:val="007D6FB7"/>
    <w:rsid w:val="007E4339"/>
    <w:rsid w:val="007E44BC"/>
    <w:rsid w:val="007E4F01"/>
    <w:rsid w:val="007E505A"/>
    <w:rsid w:val="007F243E"/>
    <w:rsid w:val="007F27E2"/>
    <w:rsid w:val="007F35DD"/>
    <w:rsid w:val="007F377E"/>
    <w:rsid w:val="007F37A4"/>
    <w:rsid w:val="007F3963"/>
    <w:rsid w:val="007F6FAA"/>
    <w:rsid w:val="00800EC6"/>
    <w:rsid w:val="008014A9"/>
    <w:rsid w:val="008032BB"/>
    <w:rsid w:val="008034CE"/>
    <w:rsid w:val="0080519D"/>
    <w:rsid w:val="008111F0"/>
    <w:rsid w:val="00814F85"/>
    <w:rsid w:val="0082793B"/>
    <w:rsid w:val="0083081B"/>
    <w:rsid w:val="008324E7"/>
    <w:rsid w:val="00841649"/>
    <w:rsid w:val="0084181D"/>
    <w:rsid w:val="0084296F"/>
    <w:rsid w:val="00843262"/>
    <w:rsid w:val="0084347D"/>
    <w:rsid w:val="008439A7"/>
    <w:rsid w:val="00843CAD"/>
    <w:rsid w:val="00846F3F"/>
    <w:rsid w:val="008503C2"/>
    <w:rsid w:val="0085465B"/>
    <w:rsid w:val="00856629"/>
    <w:rsid w:val="00862474"/>
    <w:rsid w:val="00862B39"/>
    <w:rsid w:val="0086631F"/>
    <w:rsid w:val="008702A9"/>
    <w:rsid w:val="008710D6"/>
    <w:rsid w:val="00871503"/>
    <w:rsid w:val="008732A0"/>
    <w:rsid w:val="00873C99"/>
    <w:rsid w:val="00874082"/>
    <w:rsid w:val="00874C1A"/>
    <w:rsid w:val="008758EA"/>
    <w:rsid w:val="008802D3"/>
    <w:rsid w:val="0088035F"/>
    <w:rsid w:val="00882BFF"/>
    <w:rsid w:val="00886912"/>
    <w:rsid w:val="00887D8A"/>
    <w:rsid w:val="008931A6"/>
    <w:rsid w:val="0089345B"/>
    <w:rsid w:val="00894F57"/>
    <w:rsid w:val="0089574D"/>
    <w:rsid w:val="00895BF5"/>
    <w:rsid w:val="00896D80"/>
    <w:rsid w:val="008974C4"/>
    <w:rsid w:val="008A067C"/>
    <w:rsid w:val="008A26B6"/>
    <w:rsid w:val="008A337C"/>
    <w:rsid w:val="008A57E0"/>
    <w:rsid w:val="008A6167"/>
    <w:rsid w:val="008B0D53"/>
    <w:rsid w:val="008B1724"/>
    <w:rsid w:val="008B1E6A"/>
    <w:rsid w:val="008B377F"/>
    <w:rsid w:val="008B4302"/>
    <w:rsid w:val="008C1D27"/>
    <w:rsid w:val="008C3C93"/>
    <w:rsid w:val="008C507C"/>
    <w:rsid w:val="008C645A"/>
    <w:rsid w:val="008C65AB"/>
    <w:rsid w:val="008D0AD2"/>
    <w:rsid w:val="008D1FA8"/>
    <w:rsid w:val="008D22D4"/>
    <w:rsid w:val="008D2F94"/>
    <w:rsid w:val="008D3F67"/>
    <w:rsid w:val="008D4F47"/>
    <w:rsid w:val="008D68A2"/>
    <w:rsid w:val="008D774D"/>
    <w:rsid w:val="008E1BDF"/>
    <w:rsid w:val="008E3BF6"/>
    <w:rsid w:val="008E644C"/>
    <w:rsid w:val="008E74D1"/>
    <w:rsid w:val="008E7B8E"/>
    <w:rsid w:val="008F1FE6"/>
    <w:rsid w:val="008F30BA"/>
    <w:rsid w:val="008F3CE9"/>
    <w:rsid w:val="008F3F19"/>
    <w:rsid w:val="008F6C13"/>
    <w:rsid w:val="00900E00"/>
    <w:rsid w:val="00902ABA"/>
    <w:rsid w:val="00906C84"/>
    <w:rsid w:val="00907262"/>
    <w:rsid w:val="00910573"/>
    <w:rsid w:val="009112A1"/>
    <w:rsid w:val="009132A4"/>
    <w:rsid w:val="009140DB"/>
    <w:rsid w:val="00921406"/>
    <w:rsid w:val="00921937"/>
    <w:rsid w:val="009219C1"/>
    <w:rsid w:val="0092273B"/>
    <w:rsid w:val="00923DBB"/>
    <w:rsid w:val="00924D41"/>
    <w:rsid w:val="00924DEE"/>
    <w:rsid w:val="0093101D"/>
    <w:rsid w:val="00931C7C"/>
    <w:rsid w:val="00935DA0"/>
    <w:rsid w:val="00935DB9"/>
    <w:rsid w:val="009372C3"/>
    <w:rsid w:val="00942853"/>
    <w:rsid w:val="00946F54"/>
    <w:rsid w:val="00954E8C"/>
    <w:rsid w:val="00954FF3"/>
    <w:rsid w:val="00955A68"/>
    <w:rsid w:val="00955B15"/>
    <w:rsid w:val="00956F0B"/>
    <w:rsid w:val="0095766B"/>
    <w:rsid w:val="00960544"/>
    <w:rsid w:val="0096086C"/>
    <w:rsid w:val="0096173A"/>
    <w:rsid w:val="00964AD9"/>
    <w:rsid w:val="00965911"/>
    <w:rsid w:val="009700C9"/>
    <w:rsid w:val="00970242"/>
    <w:rsid w:val="009712FE"/>
    <w:rsid w:val="00971544"/>
    <w:rsid w:val="00972F62"/>
    <w:rsid w:val="00975A65"/>
    <w:rsid w:val="009772AC"/>
    <w:rsid w:val="0097797C"/>
    <w:rsid w:val="0098046F"/>
    <w:rsid w:val="00981694"/>
    <w:rsid w:val="00982A0C"/>
    <w:rsid w:val="00987D32"/>
    <w:rsid w:val="00987FF6"/>
    <w:rsid w:val="009923B1"/>
    <w:rsid w:val="00993889"/>
    <w:rsid w:val="009958AE"/>
    <w:rsid w:val="00995D0F"/>
    <w:rsid w:val="00995FEE"/>
    <w:rsid w:val="009963AB"/>
    <w:rsid w:val="009A009B"/>
    <w:rsid w:val="009A0845"/>
    <w:rsid w:val="009A0DFC"/>
    <w:rsid w:val="009A1CD4"/>
    <w:rsid w:val="009A1EC1"/>
    <w:rsid w:val="009A25B4"/>
    <w:rsid w:val="009A2EC1"/>
    <w:rsid w:val="009A3B4C"/>
    <w:rsid w:val="009A6381"/>
    <w:rsid w:val="009B3D2A"/>
    <w:rsid w:val="009B4304"/>
    <w:rsid w:val="009B62FE"/>
    <w:rsid w:val="009C02DD"/>
    <w:rsid w:val="009C15F2"/>
    <w:rsid w:val="009C1D43"/>
    <w:rsid w:val="009C3D1A"/>
    <w:rsid w:val="009C5A53"/>
    <w:rsid w:val="009C6E4C"/>
    <w:rsid w:val="009D5CAA"/>
    <w:rsid w:val="009E0D8A"/>
    <w:rsid w:val="009E6A74"/>
    <w:rsid w:val="009F2941"/>
    <w:rsid w:val="009F4492"/>
    <w:rsid w:val="009F6820"/>
    <w:rsid w:val="00A0336B"/>
    <w:rsid w:val="00A03F32"/>
    <w:rsid w:val="00A056B0"/>
    <w:rsid w:val="00A056F1"/>
    <w:rsid w:val="00A05A79"/>
    <w:rsid w:val="00A06B3E"/>
    <w:rsid w:val="00A06E48"/>
    <w:rsid w:val="00A10F49"/>
    <w:rsid w:val="00A12A2F"/>
    <w:rsid w:val="00A1374C"/>
    <w:rsid w:val="00A13EFF"/>
    <w:rsid w:val="00A14A06"/>
    <w:rsid w:val="00A16461"/>
    <w:rsid w:val="00A21582"/>
    <w:rsid w:val="00A222D2"/>
    <w:rsid w:val="00A22E3A"/>
    <w:rsid w:val="00A25656"/>
    <w:rsid w:val="00A26F54"/>
    <w:rsid w:val="00A34D20"/>
    <w:rsid w:val="00A363DD"/>
    <w:rsid w:val="00A374B4"/>
    <w:rsid w:val="00A40114"/>
    <w:rsid w:val="00A4067E"/>
    <w:rsid w:val="00A407A9"/>
    <w:rsid w:val="00A41A8C"/>
    <w:rsid w:val="00A43192"/>
    <w:rsid w:val="00A44183"/>
    <w:rsid w:val="00A44F40"/>
    <w:rsid w:val="00A47062"/>
    <w:rsid w:val="00A4785F"/>
    <w:rsid w:val="00A53105"/>
    <w:rsid w:val="00A5486A"/>
    <w:rsid w:val="00A54ECB"/>
    <w:rsid w:val="00A5636A"/>
    <w:rsid w:val="00A56D9A"/>
    <w:rsid w:val="00A57316"/>
    <w:rsid w:val="00A60019"/>
    <w:rsid w:val="00A611B8"/>
    <w:rsid w:val="00A6223A"/>
    <w:rsid w:val="00A62501"/>
    <w:rsid w:val="00A64079"/>
    <w:rsid w:val="00A6502E"/>
    <w:rsid w:val="00A67F12"/>
    <w:rsid w:val="00A71286"/>
    <w:rsid w:val="00A71B4E"/>
    <w:rsid w:val="00A71EB5"/>
    <w:rsid w:val="00A772EB"/>
    <w:rsid w:val="00A80B24"/>
    <w:rsid w:val="00A820CA"/>
    <w:rsid w:val="00A834E0"/>
    <w:rsid w:val="00A836B6"/>
    <w:rsid w:val="00A84557"/>
    <w:rsid w:val="00A86E18"/>
    <w:rsid w:val="00A90D87"/>
    <w:rsid w:val="00A90F4C"/>
    <w:rsid w:val="00A914A9"/>
    <w:rsid w:val="00A925B8"/>
    <w:rsid w:val="00A92FCF"/>
    <w:rsid w:val="00AA1CEE"/>
    <w:rsid w:val="00AA37A4"/>
    <w:rsid w:val="00AA3AAB"/>
    <w:rsid w:val="00AA51ED"/>
    <w:rsid w:val="00AA5CFC"/>
    <w:rsid w:val="00AA6625"/>
    <w:rsid w:val="00AA6BF2"/>
    <w:rsid w:val="00AB1F58"/>
    <w:rsid w:val="00AB298E"/>
    <w:rsid w:val="00AB3575"/>
    <w:rsid w:val="00AB3FA2"/>
    <w:rsid w:val="00AB6108"/>
    <w:rsid w:val="00AB61C5"/>
    <w:rsid w:val="00AC1C64"/>
    <w:rsid w:val="00AC2247"/>
    <w:rsid w:val="00AC3679"/>
    <w:rsid w:val="00AC5B8E"/>
    <w:rsid w:val="00AC664C"/>
    <w:rsid w:val="00AD2BB7"/>
    <w:rsid w:val="00AD6B4D"/>
    <w:rsid w:val="00AD7EF3"/>
    <w:rsid w:val="00AE154C"/>
    <w:rsid w:val="00AE1ED1"/>
    <w:rsid w:val="00AE395E"/>
    <w:rsid w:val="00AF3AF8"/>
    <w:rsid w:val="00AF631B"/>
    <w:rsid w:val="00AF6419"/>
    <w:rsid w:val="00AF6935"/>
    <w:rsid w:val="00B01813"/>
    <w:rsid w:val="00B03197"/>
    <w:rsid w:val="00B03584"/>
    <w:rsid w:val="00B044C9"/>
    <w:rsid w:val="00B1134F"/>
    <w:rsid w:val="00B113A3"/>
    <w:rsid w:val="00B139E8"/>
    <w:rsid w:val="00B1549C"/>
    <w:rsid w:val="00B16659"/>
    <w:rsid w:val="00B23E3A"/>
    <w:rsid w:val="00B24505"/>
    <w:rsid w:val="00B248C1"/>
    <w:rsid w:val="00B349CF"/>
    <w:rsid w:val="00B352DE"/>
    <w:rsid w:val="00B363AD"/>
    <w:rsid w:val="00B364CF"/>
    <w:rsid w:val="00B409DE"/>
    <w:rsid w:val="00B417B9"/>
    <w:rsid w:val="00B43ACA"/>
    <w:rsid w:val="00B43CAA"/>
    <w:rsid w:val="00B4409D"/>
    <w:rsid w:val="00B44885"/>
    <w:rsid w:val="00B45E48"/>
    <w:rsid w:val="00B46FB2"/>
    <w:rsid w:val="00B5117C"/>
    <w:rsid w:val="00B5218E"/>
    <w:rsid w:val="00B57064"/>
    <w:rsid w:val="00B604C6"/>
    <w:rsid w:val="00B7032D"/>
    <w:rsid w:val="00B70D15"/>
    <w:rsid w:val="00B72A77"/>
    <w:rsid w:val="00B73EF5"/>
    <w:rsid w:val="00B767B9"/>
    <w:rsid w:val="00B80370"/>
    <w:rsid w:val="00B81F5F"/>
    <w:rsid w:val="00B8739A"/>
    <w:rsid w:val="00B910C4"/>
    <w:rsid w:val="00B92B00"/>
    <w:rsid w:val="00B963BB"/>
    <w:rsid w:val="00BA3154"/>
    <w:rsid w:val="00BA3A58"/>
    <w:rsid w:val="00BA5716"/>
    <w:rsid w:val="00BA620A"/>
    <w:rsid w:val="00BA7FFD"/>
    <w:rsid w:val="00BB0016"/>
    <w:rsid w:val="00BB0765"/>
    <w:rsid w:val="00BB3A65"/>
    <w:rsid w:val="00BB5021"/>
    <w:rsid w:val="00BB685F"/>
    <w:rsid w:val="00BC1293"/>
    <w:rsid w:val="00BC6114"/>
    <w:rsid w:val="00BD00B3"/>
    <w:rsid w:val="00BD3ED7"/>
    <w:rsid w:val="00BD5609"/>
    <w:rsid w:val="00BD57B3"/>
    <w:rsid w:val="00BD64C5"/>
    <w:rsid w:val="00BE1326"/>
    <w:rsid w:val="00BE16C8"/>
    <w:rsid w:val="00BE24F0"/>
    <w:rsid w:val="00BE3414"/>
    <w:rsid w:val="00BE352C"/>
    <w:rsid w:val="00BE622F"/>
    <w:rsid w:val="00BE6B43"/>
    <w:rsid w:val="00BF17DF"/>
    <w:rsid w:val="00BF2F4C"/>
    <w:rsid w:val="00BF358B"/>
    <w:rsid w:val="00BF3F9D"/>
    <w:rsid w:val="00BF5808"/>
    <w:rsid w:val="00BF5833"/>
    <w:rsid w:val="00BF590A"/>
    <w:rsid w:val="00BF6E60"/>
    <w:rsid w:val="00C008EF"/>
    <w:rsid w:val="00C01984"/>
    <w:rsid w:val="00C01D5F"/>
    <w:rsid w:val="00C022DC"/>
    <w:rsid w:val="00C02887"/>
    <w:rsid w:val="00C043F4"/>
    <w:rsid w:val="00C04920"/>
    <w:rsid w:val="00C049A1"/>
    <w:rsid w:val="00C0580A"/>
    <w:rsid w:val="00C10993"/>
    <w:rsid w:val="00C20F36"/>
    <w:rsid w:val="00C21F2E"/>
    <w:rsid w:val="00C22412"/>
    <w:rsid w:val="00C22F2D"/>
    <w:rsid w:val="00C2569A"/>
    <w:rsid w:val="00C25803"/>
    <w:rsid w:val="00C27431"/>
    <w:rsid w:val="00C3124B"/>
    <w:rsid w:val="00C333CB"/>
    <w:rsid w:val="00C3371E"/>
    <w:rsid w:val="00C3393F"/>
    <w:rsid w:val="00C347CD"/>
    <w:rsid w:val="00C34BBB"/>
    <w:rsid w:val="00C36913"/>
    <w:rsid w:val="00C37775"/>
    <w:rsid w:val="00C40804"/>
    <w:rsid w:val="00C40819"/>
    <w:rsid w:val="00C40A4C"/>
    <w:rsid w:val="00C4235A"/>
    <w:rsid w:val="00C42CB4"/>
    <w:rsid w:val="00C4577E"/>
    <w:rsid w:val="00C4727E"/>
    <w:rsid w:val="00C51DFC"/>
    <w:rsid w:val="00C52441"/>
    <w:rsid w:val="00C5316D"/>
    <w:rsid w:val="00C536B2"/>
    <w:rsid w:val="00C53DF6"/>
    <w:rsid w:val="00C5415C"/>
    <w:rsid w:val="00C5708B"/>
    <w:rsid w:val="00C62C44"/>
    <w:rsid w:val="00C63AD2"/>
    <w:rsid w:val="00C70FC8"/>
    <w:rsid w:val="00C71B0F"/>
    <w:rsid w:val="00C71E4F"/>
    <w:rsid w:val="00C77C14"/>
    <w:rsid w:val="00C804A0"/>
    <w:rsid w:val="00C81578"/>
    <w:rsid w:val="00C81F52"/>
    <w:rsid w:val="00C836E8"/>
    <w:rsid w:val="00C838B2"/>
    <w:rsid w:val="00C840E2"/>
    <w:rsid w:val="00C84BFE"/>
    <w:rsid w:val="00C9079D"/>
    <w:rsid w:val="00C921A2"/>
    <w:rsid w:val="00C9517B"/>
    <w:rsid w:val="00C9533B"/>
    <w:rsid w:val="00C955F3"/>
    <w:rsid w:val="00C95EF7"/>
    <w:rsid w:val="00C96F5B"/>
    <w:rsid w:val="00CA0BA7"/>
    <w:rsid w:val="00CA5270"/>
    <w:rsid w:val="00CA6200"/>
    <w:rsid w:val="00CB0046"/>
    <w:rsid w:val="00CB006C"/>
    <w:rsid w:val="00CB4605"/>
    <w:rsid w:val="00CB467F"/>
    <w:rsid w:val="00CB61E8"/>
    <w:rsid w:val="00CC4B3E"/>
    <w:rsid w:val="00CC4CF9"/>
    <w:rsid w:val="00CC63F0"/>
    <w:rsid w:val="00CD022B"/>
    <w:rsid w:val="00CD3AC3"/>
    <w:rsid w:val="00CD4717"/>
    <w:rsid w:val="00CD5CB0"/>
    <w:rsid w:val="00CD6D23"/>
    <w:rsid w:val="00CD6F2A"/>
    <w:rsid w:val="00CE202C"/>
    <w:rsid w:val="00CE5688"/>
    <w:rsid w:val="00CE7860"/>
    <w:rsid w:val="00CF12C7"/>
    <w:rsid w:val="00CF1AF5"/>
    <w:rsid w:val="00CF24EE"/>
    <w:rsid w:val="00CF5DDE"/>
    <w:rsid w:val="00CF7A8E"/>
    <w:rsid w:val="00CF7C9D"/>
    <w:rsid w:val="00D001C2"/>
    <w:rsid w:val="00D11B68"/>
    <w:rsid w:val="00D12316"/>
    <w:rsid w:val="00D125FF"/>
    <w:rsid w:val="00D12DBF"/>
    <w:rsid w:val="00D13C27"/>
    <w:rsid w:val="00D15212"/>
    <w:rsid w:val="00D161EF"/>
    <w:rsid w:val="00D175DD"/>
    <w:rsid w:val="00D178A4"/>
    <w:rsid w:val="00D20272"/>
    <w:rsid w:val="00D20762"/>
    <w:rsid w:val="00D214AD"/>
    <w:rsid w:val="00D21C24"/>
    <w:rsid w:val="00D22893"/>
    <w:rsid w:val="00D23EBF"/>
    <w:rsid w:val="00D26CC0"/>
    <w:rsid w:val="00D306B9"/>
    <w:rsid w:val="00D30745"/>
    <w:rsid w:val="00D3181E"/>
    <w:rsid w:val="00D335BB"/>
    <w:rsid w:val="00D35F64"/>
    <w:rsid w:val="00D35FD2"/>
    <w:rsid w:val="00D372B0"/>
    <w:rsid w:val="00D415F9"/>
    <w:rsid w:val="00D429B6"/>
    <w:rsid w:val="00D44C60"/>
    <w:rsid w:val="00D45D9A"/>
    <w:rsid w:val="00D47110"/>
    <w:rsid w:val="00D47EEC"/>
    <w:rsid w:val="00D51AAE"/>
    <w:rsid w:val="00D53CF4"/>
    <w:rsid w:val="00D629DA"/>
    <w:rsid w:val="00D62DD7"/>
    <w:rsid w:val="00D6341A"/>
    <w:rsid w:val="00D634D5"/>
    <w:rsid w:val="00D65378"/>
    <w:rsid w:val="00D66A66"/>
    <w:rsid w:val="00D701F6"/>
    <w:rsid w:val="00D70FA5"/>
    <w:rsid w:val="00D72DAB"/>
    <w:rsid w:val="00D73B6B"/>
    <w:rsid w:val="00D74FD3"/>
    <w:rsid w:val="00D76066"/>
    <w:rsid w:val="00D76A12"/>
    <w:rsid w:val="00D8098F"/>
    <w:rsid w:val="00D810ED"/>
    <w:rsid w:val="00D813DD"/>
    <w:rsid w:val="00D815AF"/>
    <w:rsid w:val="00D84A90"/>
    <w:rsid w:val="00D87DAC"/>
    <w:rsid w:val="00D902AE"/>
    <w:rsid w:val="00D9079F"/>
    <w:rsid w:val="00D92D53"/>
    <w:rsid w:val="00D9402D"/>
    <w:rsid w:val="00D95A80"/>
    <w:rsid w:val="00D961B0"/>
    <w:rsid w:val="00D96293"/>
    <w:rsid w:val="00D96EA8"/>
    <w:rsid w:val="00D97BA3"/>
    <w:rsid w:val="00DA28EE"/>
    <w:rsid w:val="00DA299F"/>
    <w:rsid w:val="00DA2F58"/>
    <w:rsid w:val="00DA32A3"/>
    <w:rsid w:val="00DA4076"/>
    <w:rsid w:val="00DA5662"/>
    <w:rsid w:val="00DB3552"/>
    <w:rsid w:val="00DB3763"/>
    <w:rsid w:val="00DB44CA"/>
    <w:rsid w:val="00DB68F0"/>
    <w:rsid w:val="00DC0ED7"/>
    <w:rsid w:val="00DC13A4"/>
    <w:rsid w:val="00DC17B0"/>
    <w:rsid w:val="00DC18FE"/>
    <w:rsid w:val="00DC366C"/>
    <w:rsid w:val="00DC3E63"/>
    <w:rsid w:val="00DC4FCE"/>
    <w:rsid w:val="00DD0987"/>
    <w:rsid w:val="00DD151B"/>
    <w:rsid w:val="00DD16A0"/>
    <w:rsid w:val="00DD1A98"/>
    <w:rsid w:val="00DD1B2D"/>
    <w:rsid w:val="00DD2288"/>
    <w:rsid w:val="00DD3A2A"/>
    <w:rsid w:val="00DD4A3E"/>
    <w:rsid w:val="00DD66E9"/>
    <w:rsid w:val="00DD6D0E"/>
    <w:rsid w:val="00DD7FF5"/>
    <w:rsid w:val="00DE013B"/>
    <w:rsid w:val="00DE1A8F"/>
    <w:rsid w:val="00DE2C79"/>
    <w:rsid w:val="00DE35C7"/>
    <w:rsid w:val="00DE3849"/>
    <w:rsid w:val="00DE4A78"/>
    <w:rsid w:val="00DE4CBC"/>
    <w:rsid w:val="00DE55AA"/>
    <w:rsid w:val="00DE638F"/>
    <w:rsid w:val="00DE64C1"/>
    <w:rsid w:val="00DE664A"/>
    <w:rsid w:val="00DE674E"/>
    <w:rsid w:val="00DE6E3B"/>
    <w:rsid w:val="00DF15F6"/>
    <w:rsid w:val="00DF202B"/>
    <w:rsid w:val="00DF2722"/>
    <w:rsid w:val="00DF39EB"/>
    <w:rsid w:val="00DF3A34"/>
    <w:rsid w:val="00DF41F0"/>
    <w:rsid w:val="00DF643A"/>
    <w:rsid w:val="00E00E86"/>
    <w:rsid w:val="00E01952"/>
    <w:rsid w:val="00E022CD"/>
    <w:rsid w:val="00E03010"/>
    <w:rsid w:val="00E044D9"/>
    <w:rsid w:val="00E05E38"/>
    <w:rsid w:val="00E07246"/>
    <w:rsid w:val="00E13C1D"/>
    <w:rsid w:val="00E159DA"/>
    <w:rsid w:val="00E16B4F"/>
    <w:rsid w:val="00E23BBE"/>
    <w:rsid w:val="00E24422"/>
    <w:rsid w:val="00E30701"/>
    <w:rsid w:val="00E30DC3"/>
    <w:rsid w:val="00E31206"/>
    <w:rsid w:val="00E31A74"/>
    <w:rsid w:val="00E32D84"/>
    <w:rsid w:val="00E32E4C"/>
    <w:rsid w:val="00E333AA"/>
    <w:rsid w:val="00E403B4"/>
    <w:rsid w:val="00E4300D"/>
    <w:rsid w:val="00E443C7"/>
    <w:rsid w:val="00E45260"/>
    <w:rsid w:val="00E50FCC"/>
    <w:rsid w:val="00E511EA"/>
    <w:rsid w:val="00E539A1"/>
    <w:rsid w:val="00E57E95"/>
    <w:rsid w:val="00E607ED"/>
    <w:rsid w:val="00E60D8B"/>
    <w:rsid w:val="00E63546"/>
    <w:rsid w:val="00E637EF"/>
    <w:rsid w:val="00E6529A"/>
    <w:rsid w:val="00E654FC"/>
    <w:rsid w:val="00E679A6"/>
    <w:rsid w:val="00E67A67"/>
    <w:rsid w:val="00E67E24"/>
    <w:rsid w:val="00E701D4"/>
    <w:rsid w:val="00E77FB1"/>
    <w:rsid w:val="00E82752"/>
    <w:rsid w:val="00E83D5F"/>
    <w:rsid w:val="00E83DDD"/>
    <w:rsid w:val="00E83F08"/>
    <w:rsid w:val="00E866D6"/>
    <w:rsid w:val="00E8748C"/>
    <w:rsid w:val="00E92B79"/>
    <w:rsid w:val="00E92D74"/>
    <w:rsid w:val="00E93241"/>
    <w:rsid w:val="00E93510"/>
    <w:rsid w:val="00E93894"/>
    <w:rsid w:val="00E9631C"/>
    <w:rsid w:val="00E963EF"/>
    <w:rsid w:val="00E96A4E"/>
    <w:rsid w:val="00EA5EAE"/>
    <w:rsid w:val="00EA7EA8"/>
    <w:rsid w:val="00EB16C7"/>
    <w:rsid w:val="00EB40D1"/>
    <w:rsid w:val="00EB4889"/>
    <w:rsid w:val="00EB7CE4"/>
    <w:rsid w:val="00EC0598"/>
    <w:rsid w:val="00EC304B"/>
    <w:rsid w:val="00EC321E"/>
    <w:rsid w:val="00EC3724"/>
    <w:rsid w:val="00EC3DEE"/>
    <w:rsid w:val="00EC5396"/>
    <w:rsid w:val="00EC5B05"/>
    <w:rsid w:val="00EC641B"/>
    <w:rsid w:val="00EC7516"/>
    <w:rsid w:val="00ED2B63"/>
    <w:rsid w:val="00ED36B1"/>
    <w:rsid w:val="00ED38C3"/>
    <w:rsid w:val="00ED6D86"/>
    <w:rsid w:val="00ED784B"/>
    <w:rsid w:val="00EE1952"/>
    <w:rsid w:val="00EE5516"/>
    <w:rsid w:val="00EE5BB3"/>
    <w:rsid w:val="00EF297E"/>
    <w:rsid w:val="00F00B10"/>
    <w:rsid w:val="00F02720"/>
    <w:rsid w:val="00F04168"/>
    <w:rsid w:val="00F13067"/>
    <w:rsid w:val="00F136D2"/>
    <w:rsid w:val="00F1466E"/>
    <w:rsid w:val="00F148A6"/>
    <w:rsid w:val="00F17B5F"/>
    <w:rsid w:val="00F2171E"/>
    <w:rsid w:val="00F26128"/>
    <w:rsid w:val="00F30709"/>
    <w:rsid w:val="00F30DA8"/>
    <w:rsid w:val="00F31DC0"/>
    <w:rsid w:val="00F33BF0"/>
    <w:rsid w:val="00F35F2E"/>
    <w:rsid w:val="00F41B0E"/>
    <w:rsid w:val="00F42359"/>
    <w:rsid w:val="00F42C10"/>
    <w:rsid w:val="00F437C9"/>
    <w:rsid w:val="00F45C53"/>
    <w:rsid w:val="00F47560"/>
    <w:rsid w:val="00F50B3B"/>
    <w:rsid w:val="00F538B2"/>
    <w:rsid w:val="00F54FAA"/>
    <w:rsid w:val="00F55083"/>
    <w:rsid w:val="00F5725E"/>
    <w:rsid w:val="00F57471"/>
    <w:rsid w:val="00F57934"/>
    <w:rsid w:val="00F6075E"/>
    <w:rsid w:val="00F611FA"/>
    <w:rsid w:val="00F635F7"/>
    <w:rsid w:val="00F63B40"/>
    <w:rsid w:val="00F640A1"/>
    <w:rsid w:val="00F65ED6"/>
    <w:rsid w:val="00F677BA"/>
    <w:rsid w:val="00F71270"/>
    <w:rsid w:val="00F7175E"/>
    <w:rsid w:val="00F72C77"/>
    <w:rsid w:val="00F7328B"/>
    <w:rsid w:val="00F740F3"/>
    <w:rsid w:val="00F80CE7"/>
    <w:rsid w:val="00F81622"/>
    <w:rsid w:val="00F81FF6"/>
    <w:rsid w:val="00F86209"/>
    <w:rsid w:val="00F87324"/>
    <w:rsid w:val="00F90937"/>
    <w:rsid w:val="00F93620"/>
    <w:rsid w:val="00FA09A0"/>
    <w:rsid w:val="00FA14ED"/>
    <w:rsid w:val="00FA20AC"/>
    <w:rsid w:val="00FA3794"/>
    <w:rsid w:val="00FA37BE"/>
    <w:rsid w:val="00FA3B52"/>
    <w:rsid w:val="00FA4BE9"/>
    <w:rsid w:val="00FA5B8D"/>
    <w:rsid w:val="00FA5CFC"/>
    <w:rsid w:val="00FA6425"/>
    <w:rsid w:val="00FA6609"/>
    <w:rsid w:val="00FA6B5F"/>
    <w:rsid w:val="00FA7F83"/>
    <w:rsid w:val="00FB35F4"/>
    <w:rsid w:val="00FB3FC6"/>
    <w:rsid w:val="00FB45E8"/>
    <w:rsid w:val="00FB48C2"/>
    <w:rsid w:val="00FB5816"/>
    <w:rsid w:val="00FC0C61"/>
    <w:rsid w:val="00FC20D3"/>
    <w:rsid w:val="00FC233A"/>
    <w:rsid w:val="00FC310B"/>
    <w:rsid w:val="00FC6DE3"/>
    <w:rsid w:val="00FC7066"/>
    <w:rsid w:val="00FC713B"/>
    <w:rsid w:val="00FC77E6"/>
    <w:rsid w:val="00FC7BA9"/>
    <w:rsid w:val="00FC7C2A"/>
    <w:rsid w:val="00FD0B86"/>
    <w:rsid w:val="00FD1789"/>
    <w:rsid w:val="00FD1888"/>
    <w:rsid w:val="00FD2E05"/>
    <w:rsid w:val="00FD4FFC"/>
    <w:rsid w:val="00FD5FA4"/>
    <w:rsid w:val="00FE00E9"/>
    <w:rsid w:val="00FE497B"/>
    <w:rsid w:val="00FE55A2"/>
    <w:rsid w:val="00FE5EED"/>
    <w:rsid w:val="00FE78B6"/>
    <w:rsid w:val="00FF1882"/>
    <w:rsid w:val="00FF1AE8"/>
    <w:rsid w:val="00FF24C1"/>
    <w:rsid w:val="00FF441E"/>
    <w:rsid w:val="00FF7F81"/>
    <w:rsid w:val="01512C0F"/>
    <w:rsid w:val="01E65404"/>
    <w:rsid w:val="03B00279"/>
    <w:rsid w:val="126171AE"/>
    <w:rsid w:val="1B3955F0"/>
    <w:rsid w:val="2B090C97"/>
    <w:rsid w:val="480304DE"/>
    <w:rsid w:val="5C6E68D5"/>
    <w:rsid w:val="6F36461C"/>
    <w:rsid w:val="732257DE"/>
    <w:rsid w:val="7DB21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eastAsia="楷体_GB2312"/>
      <w:b/>
      <w:sz w:val="28"/>
    </w:rPr>
  </w:style>
  <w:style w:type="paragraph" w:styleId="3">
    <w:name w:val="heading 2"/>
    <w:basedOn w:val="1"/>
    <w:next w:val="1"/>
    <w:qFormat/>
    <w:uiPriority w:val="0"/>
    <w:pPr>
      <w:keepNext/>
      <w:jc w:val="center"/>
      <w:outlineLvl w:val="1"/>
    </w:pPr>
    <w:rPr>
      <w:rFonts w:ascii="楷体_GB2312" w:eastAsia="楷体_GB2312"/>
      <w:b/>
      <w:bCs/>
      <w:sz w:val="18"/>
    </w:rPr>
  </w:style>
  <w:style w:type="paragraph" w:styleId="4">
    <w:name w:val="heading 3"/>
    <w:basedOn w:val="1"/>
    <w:next w:val="1"/>
    <w:link w:val="50"/>
    <w:qFormat/>
    <w:uiPriority w:val="0"/>
    <w:pPr>
      <w:keepNext/>
      <w:jc w:val="center"/>
      <w:outlineLvl w:val="2"/>
    </w:pPr>
    <w:rPr>
      <w:rFonts w:eastAsia="楷体_GB2312"/>
      <w:b/>
      <w:bCs/>
      <w:sz w:val="15"/>
    </w:rPr>
  </w:style>
  <w:style w:type="paragraph" w:styleId="5">
    <w:name w:val="heading 4"/>
    <w:basedOn w:val="1"/>
    <w:next w:val="1"/>
    <w:qFormat/>
    <w:uiPriority w:val="0"/>
    <w:pPr>
      <w:keepNext/>
      <w:jc w:val="center"/>
      <w:outlineLvl w:val="3"/>
    </w:pPr>
    <w:rPr>
      <w:rFonts w:eastAsia="楷体_GB2312"/>
      <w:b/>
      <w:bCs/>
      <w:sz w:val="13"/>
    </w:rPr>
  </w:style>
  <w:style w:type="paragraph" w:styleId="6">
    <w:name w:val="heading 5"/>
    <w:basedOn w:val="1"/>
    <w:next w:val="1"/>
    <w:qFormat/>
    <w:uiPriority w:val="0"/>
    <w:pPr>
      <w:keepNext/>
      <w:tabs>
        <w:tab w:val="left" w:pos="360"/>
      </w:tabs>
      <w:ind w:left="360" w:hanging="360"/>
      <w:outlineLvl w:val="4"/>
    </w:pPr>
    <w:rPr>
      <w:rFonts w:ascii="楷体_GB2312" w:eastAsia="楷体_GB2312"/>
      <w:bCs/>
      <w:sz w:val="28"/>
    </w:rPr>
  </w:style>
  <w:style w:type="paragraph" w:styleId="7">
    <w:name w:val="heading 6"/>
    <w:basedOn w:val="1"/>
    <w:next w:val="1"/>
    <w:link w:val="53"/>
    <w:qFormat/>
    <w:uiPriority w:val="0"/>
    <w:pPr>
      <w:keepNext/>
      <w:keepLines/>
      <w:spacing w:before="240" w:after="64" w:line="320" w:lineRule="auto"/>
      <w:outlineLvl w:val="5"/>
    </w:pPr>
    <w:rPr>
      <w:rFonts w:ascii="Cambria" w:hAnsi="Cambria"/>
      <w:b/>
      <w:bCs/>
      <w:sz w:val="24"/>
      <w:szCs w:val="24"/>
    </w:rPr>
  </w:style>
  <w:style w:type="character" w:default="1" w:styleId="28">
    <w:name w:val="Default Paragraph Font"/>
    <w:semiHidden/>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137"/>
    <w:qFormat/>
    <w:uiPriority w:val="0"/>
    <w:pPr>
      <w:ind w:firstLine="420"/>
    </w:pPr>
  </w:style>
  <w:style w:type="paragraph" w:styleId="9">
    <w:name w:val="Document Map"/>
    <w:basedOn w:val="1"/>
    <w:semiHidden/>
    <w:qFormat/>
    <w:uiPriority w:val="0"/>
    <w:pPr>
      <w:shd w:val="clear" w:color="auto" w:fill="000080"/>
    </w:pPr>
  </w:style>
  <w:style w:type="paragraph" w:styleId="10">
    <w:name w:val="Body Text"/>
    <w:basedOn w:val="1"/>
    <w:link w:val="141"/>
    <w:qFormat/>
    <w:uiPriority w:val="0"/>
    <w:rPr>
      <w:rFonts w:ascii="华文中宋" w:eastAsia="华文中宋"/>
      <w:bCs/>
      <w:sz w:val="28"/>
    </w:rPr>
  </w:style>
  <w:style w:type="paragraph" w:styleId="11">
    <w:name w:val="Body Text Indent"/>
    <w:basedOn w:val="1"/>
    <w:link w:val="43"/>
    <w:qFormat/>
    <w:uiPriority w:val="0"/>
    <w:pPr>
      <w:ind w:firstLine="576"/>
    </w:pPr>
    <w:rPr>
      <w:b/>
      <w:sz w:val="30"/>
    </w:rPr>
  </w:style>
  <w:style w:type="paragraph" w:styleId="12">
    <w:name w:val="Plain Text"/>
    <w:basedOn w:val="1"/>
    <w:link w:val="56"/>
    <w:qFormat/>
    <w:uiPriority w:val="0"/>
    <w:rPr>
      <w:rFonts w:ascii="宋体" w:hAnsi="Courier New"/>
    </w:rPr>
  </w:style>
  <w:style w:type="paragraph" w:styleId="13">
    <w:name w:val="Date"/>
    <w:basedOn w:val="1"/>
    <w:next w:val="1"/>
    <w:qFormat/>
    <w:uiPriority w:val="0"/>
    <w:rPr>
      <w:rFonts w:eastAsia="黑体"/>
      <w:b/>
      <w:sz w:val="36"/>
    </w:rPr>
  </w:style>
  <w:style w:type="paragraph" w:styleId="14">
    <w:name w:val="Body Text Indent 2"/>
    <w:basedOn w:val="1"/>
    <w:qFormat/>
    <w:uiPriority w:val="0"/>
    <w:pPr>
      <w:ind w:left="900"/>
    </w:pPr>
    <w:rPr>
      <w:rFonts w:ascii="楷体_GB2312" w:eastAsia="楷体_GB2312"/>
      <w:b/>
      <w:sz w:val="28"/>
    </w:rPr>
  </w:style>
  <w:style w:type="paragraph" w:styleId="15">
    <w:name w:val="Balloon Text"/>
    <w:basedOn w:val="1"/>
    <w:link w:val="44"/>
    <w:qFormat/>
    <w:uiPriority w:val="0"/>
    <w:rPr>
      <w:sz w:val="18"/>
      <w:szCs w:val="18"/>
    </w:rPr>
  </w:style>
  <w:style w:type="paragraph" w:styleId="16">
    <w:name w:val="footer"/>
    <w:basedOn w:val="1"/>
    <w:link w:val="40"/>
    <w:qFormat/>
    <w:uiPriority w:val="99"/>
    <w:pPr>
      <w:tabs>
        <w:tab w:val="center" w:pos="4153"/>
        <w:tab w:val="right" w:pos="8306"/>
      </w:tabs>
      <w:snapToGrid w:val="0"/>
      <w:jc w:val="left"/>
    </w:pPr>
    <w:rPr>
      <w:sz w:val="18"/>
    </w:rPr>
  </w:style>
  <w:style w:type="paragraph" w:styleId="17">
    <w:name w:val="header"/>
    <w:basedOn w:val="1"/>
    <w:link w:val="138"/>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semiHidden/>
    <w:qFormat/>
    <w:uiPriority w:val="0"/>
  </w:style>
  <w:style w:type="paragraph" w:styleId="19">
    <w:name w:val="Body Text Indent 3"/>
    <w:basedOn w:val="1"/>
    <w:qFormat/>
    <w:uiPriority w:val="0"/>
    <w:pPr>
      <w:ind w:left="359" w:leftChars="171" w:firstLine="359" w:firstLineChars="171"/>
    </w:pPr>
  </w:style>
  <w:style w:type="paragraph" w:styleId="20">
    <w:name w:val="toc 2"/>
    <w:basedOn w:val="1"/>
    <w:next w:val="1"/>
    <w:semiHidden/>
    <w:qFormat/>
    <w:uiPriority w:val="0"/>
    <w:pPr>
      <w:ind w:left="420" w:leftChars="200"/>
    </w:pPr>
  </w:style>
  <w:style w:type="paragraph" w:styleId="21">
    <w:name w:val="Body Text 2"/>
    <w:basedOn w:val="1"/>
    <w:qFormat/>
    <w:uiPriority w:val="0"/>
    <w:pPr>
      <w:spacing w:after="120" w:line="480" w:lineRule="auto"/>
    </w:pPr>
  </w:style>
  <w:style w:type="paragraph" w:styleId="22">
    <w:name w:val="Normal (Web)"/>
    <w:basedOn w:val="1"/>
    <w:unhideWhenUsed/>
    <w:qFormat/>
    <w:uiPriority w:val="0"/>
    <w:pPr>
      <w:widowControl/>
      <w:jc w:val="left"/>
    </w:pPr>
    <w:rPr>
      <w:rFonts w:ascii="宋体" w:hAnsi="宋体" w:cs="宋体"/>
      <w:kern w:val="0"/>
      <w:sz w:val="24"/>
      <w:szCs w:val="24"/>
    </w:rPr>
  </w:style>
  <w:style w:type="paragraph" w:styleId="23">
    <w:name w:val="Title"/>
    <w:basedOn w:val="1"/>
    <w:next w:val="1"/>
    <w:link w:val="46"/>
    <w:qFormat/>
    <w:uiPriority w:val="0"/>
    <w:pPr>
      <w:spacing w:before="240" w:after="60"/>
      <w:jc w:val="center"/>
      <w:outlineLvl w:val="0"/>
    </w:pPr>
    <w:rPr>
      <w:rFonts w:ascii="Cambria" w:hAnsi="Cambria"/>
      <w:b/>
      <w:bCs/>
      <w:sz w:val="32"/>
      <w:szCs w:val="32"/>
    </w:rPr>
  </w:style>
  <w:style w:type="paragraph" w:styleId="24">
    <w:name w:val="Body Text First Indent"/>
    <w:basedOn w:val="10"/>
    <w:link w:val="142"/>
    <w:unhideWhenUsed/>
    <w:qFormat/>
    <w:uiPriority w:val="99"/>
    <w:pPr>
      <w:spacing w:after="120"/>
      <w:ind w:firstLine="420" w:firstLineChars="100"/>
    </w:pPr>
    <w:rPr>
      <w:rFonts w:ascii="Times New Roman" w:eastAsia="宋体"/>
      <w:bCs w:val="0"/>
      <w:sz w:val="21"/>
      <w:szCs w:val="24"/>
    </w:rPr>
  </w:style>
  <w:style w:type="paragraph" w:styleId="25">
    <w:name w:val="Body Text First Indent 2"/>
    <w:basedOn w:val="11"/>
    <w:link w:val="42"/>
    <w:qFormat/>
    <w:uiPriority w:val="0"/>
    <w:pPr>
      <w:spacing w:after="120"/>
      <w:ind w:left="420" w:leftChars="200" w:firstLine="420" w:firstLineChars="200"/>
    </w:pPr>
    <w:rPr>
      <w:b w:val="0"/>
      <w:sz w:val="21"/>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basedOn w:val="28"/>
    <w:qFormat/>
    <w:uiPriority w:val="0"/>
  </w:style>
  <w:style w:type="character" w:styleId="31">
    <w:name w:val="FollowedHyperlink"/>
    <w:qFormat/>
    <w:uiPriority w:val="0"/>
    <w:rPr>
      <w:color w:val="auto"/>
      <w:u w:val="none"/>
    </w:rPr>
  </w:style>
  <w:style w:type="character" w:styleId="32">
    <w:name w:val="HTML Typewriter"/>
    <w:qFormat/>
    <w:uiPriority w:val="0"/>
    <w:rPr>
      <w:rFonts w:ascii="宋体" w:hAnsi="宋体" w:eastAsia="宋体" w:cs="宋体"/>
      <w:sz w:val="24"/>
      <w:szCs w:val="24"/>
    </w:rPr>
  </w:style>
  <w:style w:type="character" w:styleId="33">
    <w:name w:val="Hyperlink"/>
    <w:qFormat/>
    <w:uiPriority w:val="0"/>
    <w:rPr>
      <w:color w:val="auto"/>
      <w:u w:val="none"/>
    </w:rPr>
  </w:style>
  <w:style w:type="character" w:customStyle="1" w:styleId="34">
    <w:name w:val="U_正文2 Char"/>
    <w:link w:val="35"/>
    <w:qFormat/>
    <w:locked/>
    <w:uiPriority w:val="99"/>
    <w:rPr>
      <w:sz w:val="24"/>
    </w:rPr>
  </w:style>
  <w:style w:type="paragraph" w:customStyle="1" w:styleId="35">
    <w:name w:val="U_正文2"/>
    <w:basedOn w:val="1"/>
    <w:link w:val="34"/>
    <w:qFormat/>
    <w:uiPriority w:val="99"/>
    <w:pPr>
      <w:spacing w:beforeLines="10" w:afterLines="10" w:line="300" w:lineRule="auto"/>
    </w:pPr>
    <w:rPr>
      <w:kern w:val="0"/>
      <w:sz w:val="24"/>
    </w:rPr>
  </w:style>
  <w:style w:type="character" w:customStyle="1" w:styleId="36">
    <w:name w:val="GW-正文 Char"/>
    <w:link w:val="37"/>
    <w:qFormat/>
    <w:uiPriority w:val="0"/>
    <w:rPr>
      <w:rFonts w:eastAsia="仿宋_GB2312"/>
      <w:kern w:val="2"/>
      <w:sz w:val="24"/>
      <w:szCs w:val="24"/>
      <w:lang w:val="en-US" w:eastAsia="zh-CN" w:bidi="ar-SA"/>
    </w:rPr>
  </w:style>
  <w:style w:type="paragraph" w:customStyle="1" w:styleId="37">
    <w:name w:val="GW-正文"/>
    <w:basedOn w:val="1"/>
    <w:link w:val="36"/>
    <w:qFormat/>
    <w:uiPriority w:val="0"/>
    <w:pPr>
      <w:spacing w:line="360" w:lineRule="auto"/>
      <w:ind w:firstLine="200" w:firstLineChars="200"/>
      <w:contextualSpacing/>
    </w:pPr>
    <w:rPr>
      <w:rFonts w:eastAsia="仿宋_GB2312"/>
      <w:sz w:val="24"/>
      <w:szCs w:val="24"/>
    </w:rPr>
  </w:style>
  <w:style w:type="character" w:customStyle="1" w:styleId="38">
    <w:name w:val="GW-标题2 Char"/>
    <w:link w:val="39"/>
    <w:qFormat/>
    <w:uiPriority w:val="0"/>
    <w:rPr>
      <w:rFonts w:ascii="仿宋_GB2312" w:hAnsi="Calibri" w:eastAsia="仿宋_GB2312"/>
      <w:smallCaps/>
      <w:spacing w:val="5"/>
      <w:sz w:val="36"/>
      <w:szCs w:val="36"/>
      <w:lang w:bidi="ar-SA"/>
    </w:rPr>
  </w:style>
  <w:style w:type="paragraph" w:customStyle="1" w:styleId="39">
    <w:name w:val="GW-标题2"/>
    <w:basedOn w:val="1"/>
    <w:link w:val="38"/>
    <w:qFormat/>
    <w:uiPriority w:val="0"/>
    <w:pPr>
      <w:widowControl/>
      <w:spacing w:beforeLines="100" w:afterLines="100" w:line="360" w:lineRule="auto"/>
      <w:ind w:right="210" w:rightChars="100"/>
      <w:contextualSpacing/>
      <w:jc w:val="left"/>
      <w:outlineLvl w:val="1"/>
    </w:pPr>
    <w:rPr>
      <w:rFonts w:ascii="仿宋_GB2312" w:eastAsia="仿宋_GB2312"/>
      <w:smallCaps/>
      <w:spacing w:val="5"/>
      <w:kern w:val="0"/>
      <w:sz w:val="36"/>
      <w:szCs w:val="36"/>
    </w:rPr>
  </w:style>
  <w:style w:type="character" w:customStyle="1" w:styleId="40">
    <w:name w:val="页脚 Char"/>
    <w:link w:val="16"/>
    <w:qFormat/>
    <w:uiPriority w:val="99"/>
    <w:rPr>
      <w:rFonts w:eastAsia="宋体"/>
      <w:kern w:val="2"/>
      <w:sz w:val="18"/>
      <w:lang w:val="en-US" w:eastAsia="zh-CN" w:bidi="ar-SA"/>
    </w:rPr>
  </w:style>
  <w:style w:type="character" w:customStyle="1" w:styleId="41">
    <w:name w:val="zi_01a1"/>
    <w:qFormat/>
    <w:uiPriority w:val="0"/>
    <w:rPr>
      <w:rFonts w:hint="eastAsia" w:ascii="宋体" w:hAnsi="宋体" w:eastAsia="宋体"/>
      <w:color w:val="4D5865"/>
      <w:sz w:val="18"/>
      <w:szCs w:val="18"/>
      <w:u w:val="none"/>
    </w:rPr>
  </w:style>
  <w:style w:type="character" w:customStyle="1" w:styleId="42">
    <w:name w:val="正文首行缩进 2 Char"/>
    <w:link w:val="25"/>
    <w:qFormat/>
    <w:uiPriority w:val="0"/>
    <w:rPr>
      <w:b/>
      <w:kern w:val="2"/>
      <w:sz w:val="30"/>
    </w:rPr>
  </w:style>
  <w:style w:type="character" w:customStyle="1" w:styleId="43">
    <w:name w:val="正文文本缩进 Char"/>
    <w:link w:val="11"/>
    <w:qFormat/>
    <w:uiPriority w:val="0"/>
    <w:rPr>
      <w:b/>
      <w:kern w:val="2"/>
      <w:sz w:val="30"/>
    </w:rPr>
  </w:style>
  <w:style w:type="character" w:customStyle="1" w:styleId="44">
    <w:name w:val="批注框文本 Char"/>
    <w:link w:val="15"/>
    <w:qFormat/>
    <w:uiPriority w:val="0"/>
    <w:rPr>
      <w:kern w:val="2"/>
      <w:sz w:val="18"/>
      <w:szCs w:val="18"/>
    </w:rPr>
  </w:style>
  <w:style w:type="character" w:customStyle="1" w:styleId="45">
    <w:name w:val="case31"/>
    <w:qFormat/>
    <w:uiPriority w:val="0"/>
    <w:rPr>
      <w:rFonts w:hint="default"/>
      <w:sz w:val="21"/>
      <w:szCs w:val="21"/>
    </w:rPr>
  </w:style>
  <w:style w:type="character" w:customStyle="1" w:styleId="46">
    <w:name w:val="标题 Char"/>
    <w:link w:val="23"/>
    <w:qFormat/>
    <w:uiPriority w:val="0"/>
    <w:rPr>
      <w:rFonts w:ascii="Cambria" w:hAnsi="Cambria" w:eastAsia="宋体"/>
      <w:b/>
      <w:bCs/>
      <w:kern w:val="2"/>
      <w:sz w:val="32"/>
      <w:szCs w:val="32"/>
      <w:lang w:val="en-US" w:eastAsia="zh-CN" w:bidi="ar-SA"/>
    </w:rPr>
  </w:style>
  <w:style w:type="character" w:customStyle="1" w:styleId="47">
    <w:name w:val="纯文本 Char1"/>
    <w:qFormat/>
    <w:uiPriority w:val="0"/>
    <w:rPr>
      <w:rFonts w:ascii="宋体" w:hAnsi="Courier New" w:eastAsia="宋体"/>
      <w:kern w:val="2"/>
      <w:sz w:val="21"/>
      <w:lang w:val="en-US" w:eastAsia="zh-CN" w:bidi="ar-SA"/>
    </w:rPr>
  </w:style>
  <w:style w:type="character" w:customStyle="1" w:styleId="48">
    <w:name w:val="U_编号1 Char"/>
    <w:link w:val="49"/>
    <w:qFormat/>
    <w:locked/>
    <w:uiPriority w:val="99"/>
    <w:rPr>
      <w:sz w:val="24"/>
    </w:rPr>
  </w:style>
  <w:style w:type="paragraph" w:customStyle="1" w:styleId="49">
    <w:name w:val="U_编号1"/>
    <w:basedOn w:val="1"/>
    <w:link w:val="48"/>
    <w:qFormat/>
    <w:uiPriority w:val="99"/>
    <w:pPr>
      <w:tabs>
        <w:tab w:val="left" w:pos="420"/>
      </w:tabs>
      <w:spacing w:beforeLines="10" w:afterLines="10" w:line="300" w:lineRule="auto"/>
      <w:ind w:left="420" w:hanging="420"/>
    </w:pPr>
    <w:rPr>
      <w:kern w:val="0"/>
      <w:sz w:val="24"/>
    </w:rPr>
  </w:style>
  <w:style w:type="character" w:customStyle="1" w:styleId="50">
    <w:name w:val="标题 3 Char"/>
    <w:link w:val="4"/>
    <w:qFormat/>
    <w:uiPriority w:val="0"/>
    <w:rPr>
      <w:rFonts w:eastAsia="楷体_GB2312"/>
      <w:b/>
      <w:bCs/>
      <w:kern w:val="2"/>
      <w:sz w:val="15"/>
      <w:lang w:val="en-US" w:eastAsia="zh-CN" w:bidi="ar-SA"/>
    </w:rPr>
  </w:style>
  <w:style w:type="character" w:customStyle="1" w:styleId="51">
    <w:name w:val="U_编号2 Char"/>
    <w:link w:val="52"/>
    <w:qFormat/>
    <w:locked/>
    <w:uiPriority w:val="99"/>
  </w:style>
  <w:style w:type="paragraph" w:customStyle="1" w:styleId="52">
    <w:name w:val="U_编号2"/>
    <w:basedOn w:val="1"/>
    <w:link w:val="51"/>
    <w:qFormat/>
    <w:uiPriority w:val="99"/>
    <w:pPr>
      <w:tabs>
        <w:tab w:val="left" w:pos="785"/>
      </w:tabs>
      <w:spacing w:beforeLines="10" w:afterLines="10" w:line="300" w:lineRule="auto"/>
      <w:ind w:left="420" w:firstLine="5"/>
    </w:pPr>
    <w:rPr>
      <w:kern w:val="0"/>
      <w:sz w:val="20"/>
    </w:rPr>
  </w:style>
  <w:style w:type="character" w:customStyle="1" w:styleId="53">
    <w:name w:val="标题 6 Char"/>
    <w:link w:val="7"/>
    <w:semiHidden/>
    <w:qFormat/>
    <w:uiPriority w:val="0"/>
    <w:rPr>
      <w:rFonts w:ascii="Cambria" w:hAnsi="Cambria" w:eastAsia="宋体" w:cs="Times New Roman"/>
      <w:b/>
      <w:bCs/>
      <w:kern w:val="2"/>
      <w:sz w:val="24"/>
      <w:szCs w:val="24"/>
    </w:rPr>
  </w:style>
  <w:style w:type="character" w:customStyle="1" w:styleId="54">
    <w:name w:val="GW-标题4 Char"/>
    <w:link w:val="55"/>
    <w:qFormat/>
    <w:uiPriority w:val="0"/>
    <w:rPr>
      <w:rFonts w:ascii="仿宋_GB2312" w:hAnsi="Calibri" w:eastAsia="仿宋_GB2312"/>
      <w:smallCaps/>
      <w:spacing w:val="5"/>
      <w:sz w:val="30"/>
      <w:szCs w:val="24"/>
      <w:lang w:bidi="ar-SA"/>
    </w:rPr>
  </w:style>
  <w:style w:type="paragraph" w:customStyle="1" w:styleId="55">
    <w:name w:val="GW-标题4"/>
    <w:basedOn w:val="1"/>
    <w:link w:val="54"/>
    <w:qFormat/>
    <w:uiPriority w:val="0"/>
    <w:pPr>
      <w:widowControl/>
      <w:spacing w:beforeLines="50" w:afterLines="50" w:line="360" w:lineRule="auto"/>
      <w:ind w:right="210" w:rightChars="100"/>
      <w:contextualSpacing/>
      <w:jc w:val="left"/>
      <w:outlineLvl w:val="3"/>
    </w:pPr>
    <w:rPr>
      <w:rFonts w:ascii="仿宋_GB2312" w:eastAsia="仿宋_GB2312"/>
      <w:smallCaps/>
      <w:spacing w:val="5"/>
      <w:kern w:val="0"/>
      <w:sz w:val="30"/>
      <w:szCs w:val="24"/>
    </w:rPr>
  </w:style>
  <w:style w:type="character" w:customStyle="1" w:styleId="56">
    <w:name w:val="纯文本 Char"/>
    <w:link w:val="12"/>
    <w:qFormat/>
    <w:uiPriority w:val="0"/>
    <w:rPr>
      <w:rFonts w:ascii="宋体" w:hAnsi="Courier New" w:eastAsia="宋体"/>
      <w:kern w:val="2"/>
      <w:sz w:val="21"/>
      <w:lang w:val="en-US" w:eastAsia="zh-CN" w:bidi="ar-SA"/>
    </w:rPr>
  </w:style>
  <w:style w:type="character" w:customStyle="1" w:styleId="57">
    <w:name w:val="font81"/>
    <w:qFormat/>
    <w:uiPriority w:val="0"/>
    <w:rPr>
      <w:rFonts w:hint="default" w:ascii="仿宋_GB2312" w:eastAsia="仿宋_GB2312" w:cs="仿宋_GB2312"/>
      <w:color w:val="000000"/>
      <w:sz w:val="21"/>
      <w:szCs w:val="21"/>
      <w:u w:val="none"/>
      <w:vertAlign w:val="superscript"/>
    </w:rPr>
  </w:style>
  <w:style w:type="character" w:customStyle="1" w:styleId="58">
    <w:name w:val="U_正文 Char"/>
    <w:link w:val="59"/>
    <w:qFormat/>
    <w:locked/>
    <w:uiPriority w:val="99"/>
    <w:rPr>
      <w:sz w:val="24"/>
    </w:rPr>
  </w:style>
  <w:style w:type="paragraph" w:customStyle="1" w:styleId="59">
    <w:name w:val="U_正文"/>
    <w:basedOn w:val="1"/>
    <w:link w:val="58"/>
    <w:qFormat/>
    <w:uiPriority w:val="99"/>
    <w:pPr>
      <w:spacing w:beforeLines="20" w:afterLines="20" w:line="300" w:lineRule="auto"/>
      <w:ind w:firstLine="200" w:firstLineChars="200"/>
    </w:pPr>
    <w:rPr>
      <w:kern w:val="0"/>
      <w:sz w:val="24"/>
    </w:rPr>
  </w:style>
  <w:style w:type="paragraph" w:customStyle="1" w:styleId="60">
    <w:name w:val="页眉1"/>
    <w:qFormat/>
    <w:uiPriority w:val="0"/>
    <w:pPr>
      <w:snapToGrid w:val="0"/>
      <w:spacing w:before="120" w:after="120"/>
      <w:ind w:left="1304" w:hanging="1304"/>
    </w:pPr>
    <w:rPr>
      <w:rFonts w:ascii="Calibri" w:hAnsi="Calibri" w:eastAsia="PMingLiU" w:cs="Times New Roman"/>
      <w:sz w:val="28"/>
      <w:lang w:val="en-US" w:eastAsia="zh-TW" w:bidi="ar-SA"/>
    </w:rPr>
  </w:style>
  <w:style w:type="paragraph" w:customStyle="1" w:styleId="61">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styleId="62">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63">
    <w:name w:val="11"/>
    <w:basedOn w:val="1"/>
    <w:qFormat/>
    <w:uiPriority w:val="0"/>
    <w:pPr>
      <w:widowControl/>
      <w:adjustRightInd w:val="0"/>
      <w:spacing w:line="360" w:lineRule="auto"/>
      <w:ind w:firstLine="420" w:firstLineChars="200"/>
      <w:jc w:val="left"/>
      <w:textAlignment w:val="baseline"/>
    </w:pPr>
    <w:rPr>
      <w:rFonts w:ascii="Arial" w:hAnsi="Arial" w:cs="宋体"/>
      <w:color w:val="000000"/>
      <w:kern w:val="0"/>
    </w:rPr>
  </w:style>
  <w:style w:type="paragraph" w:customStyle="1" w:styleId="64">
    <w:name w:val="GW-列表样式"/>
    <w:basedOn w:val="37"/>
    <w:qFormat/>
    <w:uiPriority w:val="0"/>
    <w:pPr>
      <w:widowControl/>
      <w:spacing w:line="300" w:lineRule="auto"/>
      <w:ind w:firstLine="0" w:firstLineChars="0"/>
      <w:jc w:val="left"/>
    </w:pPr>
    <w:rPr>
      <w:rFonts w:ascii="仿宋_GB2312" w:hAnsi="宋体"/>
      <w:kern w:val="0"/>
      <w:sz w:val="21"/>
    </w:rPr>
  </w:style>
  <w:style w:type="paragraph" w:customStyle="1" w:styleId="6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8">
    <w:name w:val="U_标题2"/>
    <w:basedOn w:val="3"/>
    <w:qFormat/>
    <w:uiPriority w:val="99"/>
    <w:pPr>
      <w:keepLines/>
      <w:tabs>
        <w:tab w:val="left" w:pos="360"/>
      </w:tabs>
      <w:spacing w:beforeLines="20" w:afterLines="20" w:line="300" w:lineRule="auto"/>
      <w:jc w:val="both"/>
    </w:pPr>
    <w:rPr>
      <w:rFonts w:ascii="Arial" w:hAnsi="Arial" w:eastAsia="黑体"/>
      <w:bCs w:val="0"/>
      <w:sz w:val="30"/>
      <w:szCs w:val="24"/>
    </w:rPr>
  </w:style>
  <w:style w:type="paragraph" w:customStyle="1" w:styleId="69">
    <w:name w:val="样式 首行缩进:  2 字符"/>
    <w:basedOn w:val="1"/>
    <w:qFormat/>
    <w:uiPriority w:val="0"/>
    <w:pPr>
      <w:spacing w:line="400" w:lineRule="exact"/>
      <w:ind w:firstLine="200" w:firstLineChars="200"/>
    </w:pPr>
    <w:rPr>
      <w:rFonts w:cs="宋体"/>
      <w:sz w:val="24"/>
      <w:szCs w:val="24"/>
    </w:rPr>
  </w:style>
  <w:style w:type="paragraph" w:customStyle="1" w:styleId="70">
    <w:name w:val="正文首行缩进两字符"/>
    <w:basedOn w:val="1"/>
    <w:qFormat/>
    <w:uiPriority w:val="0"/>
    <w:pPr>
      <w:spacing w:line="360" w:lineRule="auto"/>
      <w:ind w:firstLine="200" w:firstLineChars="200"/>
    </w:pPr>
  </w:style>
  <w:style w:type="paragraph" w:customStyle="1" w:styleId="71">
    <w:name w:val="张世超样式-正文文本2"/>
    <w:basedOn w:val="1"/>
    <w:qFormat/>
    <w:uiPriority w:val="0"/>
    <w:pPr>
      <w:ind w:left="2"/>
      <w:jc w:val="center"/>
    </w:pPr>
    <w:rPr>
      <w:b/>
      <w:color w:val="FF0000"/>
      <w:sz w:val="24"/>
      <w:szCs w:val="24"/>
    </w:rPr>
  </w:style>
  <w:style w:type="paragraph" w:customStyle="1" w:styleId="72">
    <w:name w:val="普通文字"/>
    <w:basedOn w:val="1"/>
    <w:next w:val="1"/>
    <w:qFormat/>
    <w:uiPriority w:val="0"/>
    <w:rPr>
      <w:rFonts w:ascii="宋体"/>
      <w:kern w:val="0"/>
      <w:sz w:val="24"/>
      <w:u w:color="000000"/>
    </w:rPr>
  </w:style>
  <w:style w:type="paragraph" w:customStyle="1" w:styleId="73">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74">
    <w:name w:val="默认段落字体 Para Char"/>
    <w:basedOn w:val="1"/>
    <w:qFormat/>
    <w:uiPriority w:val="0"/>
    <w:pPr>
      <w:tabs>
        <w:tab w:val="left" w:pos="1050"/>
      </w:tabs>
      <w:ind w:left="1050" w:hanging="420"/>
    </w:pPr>
    <w:rPr>
      <w:sz w:val="24"/>
      <w:szCs w:val="24"/>
    </w:rPr>
  </w:style>
  <w:style w:type="paragraph" w:customStyle="1" w:styleId="75">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76">
    <w:name w:val="font6"/>
    <w:basedOn w:val="1"/>
    <w:qFormat/>
    <w:uiPriority w:val="0"/>
    <w:pPr>
      <w:widowControl/>
      <w:spacing w:before="100" w:beforeAutospacing="1" w:after="100" w:afterAutospacing="1"/>
      <w:jc w:val="left"/>
    </w:pPr>
    <w:rPr>
      <w:rFonts w:hint="eastAsia" w:ascii="宋体" w:hAnsi="宋体"/>
      <w:b/>
      <w:bCs/>
      <w:kern w:val="0"/>
      <w:sz w:val="20"/>
    </w:rPr>
  </w:style>
  <w:style w:type="paragraph" w:customStyle="1" w:styleId="77">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78">
    <w:name w:val="样式"/>
    <w:qFormat/>
    <w:uiPriority w:val="0"/>
    <w:pPr>
      <w:widowControl w:val="0"/>
      <w:autoSpaceDE w:val="0"/>
      <w:autoSpaceDN w:val="0"/>
      <w:adjustRightInd w:val="0"/>
    </w:pPr>
    <w:rPr>
      <w:rFonts w:ascii="宋体" w:hAnsi="宋体" w:eastAsia="宋体" w:cs="Times New Roman"/>
      <w:sz w:val="24"/>
      <w:lang w:val="en-US" w:eastAsia="zh-CN" w:bidi="ar-SA"/>
    </w:rPr>
  </w:style>
  <w:style w:type="paragraph" w:customStyle="1" w:styleId="79">
    <w:name w:val="默认段落字体 Para Char Char Char Char Char Char Char Char Char1 Char Char Char Char Char Char Char"/>
    <w:basedOn w:val="9"/>
    <w:qFormat/>
    <w:uiPriority w:val="0"/>
    <w:rPr>
      <w:rFonts w:ascii="Tahoma" w:hAnsi="Tahoma"/>
      <w:sz w:val="24"/>
      <w:szCs w:val="24"/>
    </w:rPr>
  </w:style>
  <w:style w:type="paragraph" w:customStyle="1" w:styleId="80">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81">
    <w:name w:val="font12"/>
    <w:basedOn w:val="1"/>
    <w:qFormat/>
    <w:uiPriority w:val="0"/>
    <w:pPr>
      <w:widowControl/>
      <w:spacing w:before="100" w:beforeAutospacing="1" w:after="100" w:afterAutospacing="1"/>
      <w:jc w:val="left"/>
    </w:pPr>
    <w:rPr>
      <w:rFonts w:hint="eastAsia" w:ascii="宋体" w:hAnsi="宋体"/>
      <w:kern w:val="0"/>
      <w:sz w:val="36"/>
      <w:szCs w:val="36"/>
    </w:rPr>
  </w:style>
  <w:style w:type="paragraph" w:customStyle="1" w:styleId="82">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83">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84">
    <w:name w:val="Char2 Char Char"/>
    <w:basedOn w:val="9"/>
    <w:qFormat/>
    <w:uiPriority w:val="0"/>
    <w:rPr>
      <w:rFonts w:ascii="Tahoma" w:hAnsi="Tahoma"/>
      <w:sz w:val="24"/>
      <w:szCs w:val="24"/>
    </w:rPr>
  </w:style>
  <w:style w:type="paragraph" w:customStyle="1" w:styleId="85">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86">
    <w:name w:val="列出段落1"/>
    <w:basedOn w:val="1"/>
    <w:qFormat/>
    <w:uiPriority w:val="34"/>
    <w:pPr>
      <w:ind w:firstLine="420" w:firstLineChars="200"/>
    </w:pPr>
    <w:rPr>
      <w:szCs w:val="24"/>
    </w:rPr>
  </w:style>
  <w:style w:type="paragraph" w:customStyle="1" w:styleId="87">
    <w:name w:val="font13"/>
    <w:basedOn w:val="1"/>
    <w:qFormat/>
    <w:uiPriority w:val="0"/>
    <w:pPr>
      <w:widowControl/>
      <w:spacing w:before="100" w:beforeAutospacing="1" w:after="100" w:afterAutospacing="1"/>
      <w:jc w:val="left"/>
    </w:pPr>
    <w:rPr>
      <w:i/>
      <w:iCs/>
      <w:kern w:val="0"/>
      <w:sz w:val="36"/>
      <w:szCs w:val="36"/>
    </w:rPr>
  </w:style>
  <w:style w:type="paragraph" w:customStyle="1" w:styleId="88">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89">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91">
    <w:name w:val="Char Char Char Char Char Char"/>
    <w:basedOn w:val="1"/>
    <w:qFormat/>
    <w:uiPriority w:val="0"/>
    <w:pPr>
      <w:widowControl/>
      <w:spacing w:after="160" w:line="240" w:lineRule="exact"/>
      <w:jc w:val="left"/>
    </w:pPr>
    <w:rPr>
      <w:rFonts w:ascii="黑体" w:hAnsi="Verdana" w:eastAsia="黑体"/>
      <w:kern w:val="0"/>
      <w:sz w:val="32"/>
      <w:szCs w:val="32"/>
    </w:rPr>
  </w:style>
  <w:style w:type="paragraph" w:customStyle="1" w:styleId="92">
    <w:name w:val="U_标题3"/>
    <w:basedOn w:val="4"/>
    <w:qFormat/>
    <w:uiPriority w:val="99"/>
    <w:pPr>
      <w:keepLines/>
      <w:tabs>
        <w:tab w:val="left" w:pos="360"/>
      </w:tabs>
      <w:spacing w:beforeLines="20" w:afterLines="20" w:line="300" w:lineRule="auto"/>
      <w:jc w:val="both"/>
    </w:pPr>
    <w:rPr>
      <w:rFonts w:ascii="Arial" w:hAnsi="Arial" w:eastAsia="黑体"/>
      <w:bCs w:val="0"/>
      <w:sz w:val="28"/>
      <w:szCs w:val="24"/>
    </w:rPr>
  </w:style>
  <w:style w:type="paragraph" w:customStyle="1" w:styleId="93">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94">
    <w:name w:val="title1"/>
    <w:basedOn w:val="1"/>
    <w:qFormat/>
    <w:uiPriority w:val="0"/>
    <w:pPr>
      <w:jc w:val="left"/>
      <w:outlineLvl w:val="0"/>
    </w:pPr>
    <w:rPr>
      <w:rFonts w:ascii="宋体" w:hAnsi="宋体" w:cs="Arial"/>
      <w:b/>
      <w:bCs/>
      <w:kern w:val="0"/>
      <w:sz w:val="18"/>
      <w:szCs w:val="32"/>
    </w:rPr>
  </w:style>
  <w:style w:type="paragraph" w:customStyle="1" w:styleId="95">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9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97">
    <w:name w:val="xl49"/>
    <w:basedOn w:val="1"/>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98">
    <w:name w:val="xl51"/>
    <w:basedOn w:val="1"/>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99">
    <w:name w:val="xl57"/>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00">
    <w:name w:val="font11"/>
    <w:basedOn w:val="1"/>
    <w:uiPriority w:val="0"/>
    <w:pPr>
      <w:widowControl/>
      <w:spacing w:before="100" w:beforeAutospacing="1" w:after="100" w:afterAutospacing="1"/>
      <w:jc w:val="left"/>
    </w:pPr>
    <w:rPr>
      <w:b/>
      <w:bCs/>
      <w:kern w:val="0"/>
      <w:sz w:val="18"/>
      <w:szCs w:val="18"/>
    </w:rPr>
  </w:style>
  <w:style w:type="paragraph" w:styleId="101">
    <w:name w:val="List Paragraph"/>
    <w:basedOn w:val="1"/>
    <w:qFormat/>
    <w:uiPriority w:val="34"/>
    <w:pPr>
      <w:ind w:firstLine="420" w:firstLineChars="200"/>
    </w:pPr>
    <w:rPr>
      <w:szCs w:val="24"/>
    </w:rPr>
  </w:style>
  <w:style w:type="paragraph" w:customStyle="1" w:styleId="102">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0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10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105">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0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108">
    <w:name w:val="font10"/>
    <w:basedOn w:val="1"/>
    <w:qFormat/>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109">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10">
    <w:name w:val="U_标题4"/>
    <w:basedOn w:val="5"/>
    <w:qFormat/>
    <w:uiPriority w:val="99"/>
    <w:pPr>
      <w:keepLines/>
      <w:tabs>
        <w:tab w:val="left" w:pos="360"/>
      </w:tabs>
      <w:spacing w:beforeLines="20" w:afterLines="20" w:line="300" w:lineRule="auto"/>
      <w:jc w:val="both"/>
    </w:pPr>
    <w:rPr>
      <w:rFonts w:ascii="Arial" w:hAnsi="Arial" w:eastAsia="黑体"/>
      <w:bCs w:val="0"/>
      <w:sz w:val="24"/>
      <w:szCs w:val="24"/>
    </w:rPr>
  </w:style>
  <w:style w:type="paragraph" w:customStyle="1" w:styleId="111">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12">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113">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11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115">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116">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117">
    <w:name w:val="font14"/>
    <w:basedOn w:val="1"/>
    <w:qFormat/>
    <w:uiPriority w:val="0"/>
    <w:pPr>
      <w:widowControl/>
      <w:spacing w:before="100" w:beforeAutospacing="1" w:after="100" w:afterAutospacing="1"/>
      <w:jc w:val="left"/>
    </w:pPr>
    <w:rPr>
      <w:kern w:val="0"/>
      <w:sz w:val="36"/>
      <w:szCs w:val="36"/>
    </w:rPr>
  </w:style>
  <w:style w:type="paragraph" w:customStyle="1" w:styleId="118">
    <w:name w:val="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120">
    <w:name w:val="列出段落2"/>
    <w:basedOn w:val="1"/>
    <w:qFormat/>
    <w:uiPriority w:val="0"/>
    <w:pPr>
      <w:ind w:firstLine="420" w:firstLineChars="200"/>
    </w:pPr>
    <w:rPr>
      <w:szCs w:val="24"/>
    </w:rPr>
  </w:style>
  <w:style w:type="paragraph" w:customStyle="1" w:styleId="12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122">
    <w:name w:val="Char Char1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2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24">
    <w:name w:val="Char Char Char Char"/>
    <w:basedOn w:val="9"/>
    <w:qFormat/>
    <w:uiPriority w:val="0"/>
    <w:pPr>
      <w:adjustRightInd w:val="0"/>
      <w:snapToGrid w:val="0"/>
      <w:spacing w:line="360" w:lineRule="auto"/>
    </w:pPr>
    <w:rPr>
      <w:rFonts w:ascii="Tahoma" w:hAnsi="Tahoma"/>
      <w:sz w:val="24"/>
      <w:szCs w:val="24"/>
    </w:rPr>
  </w:style>
  <w:style w:type="paragraph" w:customStyle="1" w:styleId="125">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26">
    <w:name w:val="_Style 2"/>
    <w:basedOn w:val="1"/>
    <w:qFormat/>
    <w:uiPriority w:val="0"/>
    <w:pPr>
      <w:ind w:firstLine="420" w:firstLineChars="200"/>
    </w:pPr>
    <w:rPr>
      <w:szCs w:val="22"/>
    </w:rPr>
  </w:style>
  <w:style w:type="paragraph" w:customStyle="1" w:styleId="127">
    <w:name w:val="font7"/>
    <w:basedOn w:val="1"/>
    <w:qFormat/>
    <w:uiPriority w:val="0"/>
    <w:pPr>
      <w:widowControl/>
      <w:spacing w:before="100" w:beforeAutospacing="1" w:after="100" w:afterAutospacing="1"/>
      <w:jc w:val="left"/>
    </w:pPr>
    <w:rPr>
      <w:b/>
      <w:bCs/>
      <w:i/>
      <w:iCs/>
      <w:kern w:val="0"/>
      <w:sz w:val="20"/>
    </w:rPr>
  </w:style>
  <w:style w:type="paragraph" w:customStyle="1" w:styleId="128">
    <w:name w:val="U_标题1"/>
    <w:basedOn w:val="2"/>
    <w:qFormat/>
    <w:uiPriority w:val="99"/>
    <w:pPr>
      <w:keepLines/>
      <w:tabs>
        <w:tab w:val="left" w:pos="360"/>
      </w:tabs>
      <w:spacing w:beforeLines="30" w:afterLines="30" w:line="300" w:lineRule="auto"/>
      <w:jc w:val="both"/>
    </w:pPr>
    <w:rPr>
      <w:rFonts w:ascii="Times New Roman" w:eastAsia="黑体"/>
      <w:kern w:val="44"/>
      <w:sz w:val="32"/>
      <w:szCs w:val="24"/>
    </w:rPr>
  </w:style>
  <w:style w:type="paragraph" w:customStyle="1" w:styleId="129">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130">
    <w:name w:val="font9"/>
    <w:basedOn w:val="1"/>
    <w:qFormat/>
    <w:uiPriority w:val="0"/>
    <w:pPr>
      <w:widowControl/>
      <w:spacing w:before="100" w:beforeAutospacing="1" w:after="100" w:afterAutospacing="1"/>
      <w:jc w:val="left"/>
    </w:pPr>
    <w:rPr>
      <w:b/>
      <w:bCs/>
      <w:kern w:val="0"/>
      <w:sz w:val="20"/>
    </w:rPr>
  </w:style>
  <w:style w:type="paragraph" w:customStyle="1" w:styleId="131">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13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133">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134">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135">
    <w:name w:val="Char1 Char Char Char"/>
    <w:basedOn w:val="1"/>
    <w:qFormat/>
    <w:uiPriority w:val="0"/>
    <w:rPr>
      <w:rFonts w:ascii="Tahoma" w:hAnsi="Tahoma"/>
      <w:sz w:val="24"/>
    </w:rPr>
  </w:style>
  <w:style w:type="paragraph" w:customStyle="1" w:styleId="13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character" w:customStyle="1" w:styleId="137">
    <w:name w:val="正文缩进 Char"/>
    <w:link w:val="8"/>
    <w:qFormat/>
    <w:uiPriority w:val="0"/>
    <w:rPr>
      <w:kern w:val="2"/>
      <w:sz w:val="21"/>
    </w:rPr>
  </w:style>
  <w:style w:type="character" w:customStyle="1" w:styleId="138">
    <w:name w:val="页眉 Char"/>
    <w:link w:val="17"/>
    <w:qFormat/>
    <w:uiPriority w:val="0"/>
    <w:rPr>
      <w:kern w:val="2"/>
      <w:sz w:val="18"/>
    </w:rPr>
  </w:style>
  <w:style w:type="paragraph" w:customStyle="1" w:styleId="139">
    <w:name w:val="_正文段落"/>
    <w:basedOn w:val="1"/>
    <w:qFormat/>
    <w:uiPriority w:val="0"/>
    <w:pPr>
      <w:spacing w:beforeLines="15" w:afterLines="15" w:line="360" w:lineRule="auto"/>
      <w:ind w:firstLine="200" w:firstLineChars="200"/>
    </w:pPr>
    <w:rPr>
      <w:rFonts w:ascii="宋体" w:eastAsia="仿宋_GB2312"/>
      <w:kern w:val="0"/>
      <w:sz w:val="28"/>
      <w:szCs w:val="24"/>
    </w:rPr>
  </w:style>
  <w:style w:type="paragraph" w:customStyle="1" w:styleId="140">
    <w:name w:val="表格"/>
    <w:basedOn w:val="1"/>
    <w:qFormat/>
    <w:uiPriority w:val="0"/>
    <w:pPr>
      <w:spacing w:line="400" w:lineRule="exact"/>
    </w:pPr>
    <w:rPr>
      <w:sz w:val="24"/>
      <w:szCs w:val="24"/>
    </w:rPr>
  </w:style>
  <w:style w:type="character" w:customStyle="1" w:styleId="141">
    <w:name w:val="正文文本 Char"/>
    <w:link w:val="10"/>
    <w:qFormat/>
    <w:uiPriority w:val="0"/>
    <w:rPr>
      <w:rFonts w:ascii="华文中宋" w:eastAsia="华文中宋"/>
      <w:bCs/>
      <w:kern w:val="2"/>
      <w:sz w:val="28"/>
    </w:rPr>
  </w:style>
  <w:style w:type="character" w:customStyle="1" w:styleId="142">
    <w:name w:val="正文首行缩进 Char"/>
    <w:link w:val="24"/>
    <w:qFormat/>
    <w:uiPriority w:val="0"/>
    <w:rPr>
      <w:rFonts w:ascii="华文中宋" w:eastAsia="华文中宋"/>
      <w:bCs/>
      <w:kern w:val="2"/>
      <w:sz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header" Target="header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Application%20Data\Microsoft\Templates\&#36992;&#35831;&#25307;&#26631;&#200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3074"/>
    <customShpInfo spid="_x0000_s3075"/>
    <customShpInfo spid="_x0000_s3076"/>
    <customShpInfo spid="_x0000_s3077"/>
    <customShpInfo spid="_x0000_s1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邀请招标书</Template>
  <Company>Microsoft</Company>
  <Pages>30</Pages>
  <Words>2185</Words>
  <Characters>12461</Characters>
  <Lines>103</Lines>
  <Paragraphs>29</Paragraphs>
  <TotalTime>0</TotalTime>
  <ScaleCrop>false</ScaleCrop>
  <LinksUpToDate>false</LinksUpToDate>
  <CharactersWithSpaces>14617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2024-02-26T02:01:00Z</dcterms:created>
  <dc:creator>zjt</dc:creator>
  <cp:lastModifiedBy>Administrator</cp:lastModifiedBy>
  <cp:lastPrinted>2017-10-16T01:38:00Z</cp:lastPrinted>
  <dcterms:modified xsi:type="dcterms:W3CDTF">2024-03-11T02:10:34Z</dcterms:modified>
  <dc:title>投标邀请函</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200E91062EFE416880552A3A743354C9_12</vt:lpwstr>
  </property>
</Properties>
</file>