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宋体" w:cs="Times New Roman"/>
          <w:b/>
          <w:bCs/>
          <w:sz w:val="52"/>
          <w:szCs w:val="52"/>
        </w:rPr>
      </w:pPr>
    </w:p>
    <w:p>
      <w:pPr>
        <w:spacing w:line="360" w:lineRule="auto"/>
        <w:jc w:val="center"/>
        <w:rPr>
          <w:rFonts w:ascii="仿宋" w:hAnsi="仿宋" w:eastAsia="仿宋" w:cs="仿宋"/>
          <w:sz w:val="84"/>
          <w:szCs w:val="84"/>
        </w:rPr>
      </w:pPr>
    </w:p>
    <w:p>
      <w:pPr>
        <w:spacing w:line="360" w:lineRule="auto"/>
        <w:jc w:val="center"/>
        <w:rPr>
          <w:rFonts w:ascii="仿宋" w:hAnsi="仿宋" w:eastAsia="仿宋" w:cs="仿宋"/>
          <w:sz w:val="84"/>
          <w:szCs w:val="84"/>
        </w:rPr>
      </w:pPr>
    </w:p>
    <w:p>
      <w:pPr>
        <w:spacing w:line="360" w:lineRule="auto"/>
        <w:jc w:val="center"/>
        <w:rPr>
          <w:rFonts w:ascii="仿宋" w:hAnsi="仿宋" w:eastAsia="仿宋" w:cs="仿宋"/>
          <w:b/>
          <w:spacing w:val="-30"/>
          <w:sz w:val="84"/>
          <w:szCs w:val="84"/>
        </w:rPr>
      </w:pPr>
      <w:r>
        <w:rPr>
          <w:rFonts w:hint="eastAsia" w:ascii="仿宋" w:hAnsi="仿宋" w:eastAsia="仿宋" w:cs="仿宋"/>
          <w:sz w:val="84"/>
          <w:szCs w:val="84"/>
        </w:rPr>
        <w:t>绵阳市中医医院</w:t>
      </w:r>
    </w:p>
    <w:p>
      <w:pPr>
        <w:spacing w:line="360" w:lineRule="auto"/>
        <w:jc w:val="center"/>
        <w:rPr>
          <w:rFonts w:ascii="仿宋" w:hAnsi="仿宋" w:eastAsia="仿宋" w:cs="仿宋"/>
          <w:b/>
          <w:sz w:val="84"/>
          <w:szCs w:val="84"/>
        </w:rPr>
      </w:pPr>
    </w:p>
    <w:p>
      <w:pPr>
        <w:spacing w:line="360" w:lineRule="auto"/>
        <w:jc w:val="center"/>
        <w:rPr>
          <w:rFonts w:ascii="仿宋" w:hAnsi="仿宋" w:eastAsia="仿宋" w:cs="仿宋"/>
          <w:b/>
          <w:sz w:val="84"/>
          <w:szCs w:val="84"/>
        </w:rPr>
      </w:pPr>
      <w:r>
        <w:rPr>
          <w:rFonts w:hint="eastAsia" w:ascii="仿宋" w:hAnsi="仿宋" w:eastAsia="仿宋" w:cs="仿宋"/>
          <w:b/>
          <w:sz w:val="84"/>
          <w:szCs w:val="84"/>
        </w:rPr>
        <w:t xml:space="preserve"> 竞争性磋商</w:t>
      </w:r>
      <w:r>
        <w:rPr>
          <w:rFonts w:hint="eastAsia" w:ascii="仿宋" w:hAnsi="仿宋" w:eastAsia="仿宋" w:cs="仿宋"/>
          <w:b/>
          <w:spacing w:val="-30"/>
          <w:sz w:val="84"/>
          <w:szCs w:val="84"/>
        </w:rPr>
        <w:t>文件</w:t>
      </w:r>
    </w:p>
    <w:p>
      <w:pPr>
        <w:spacing w:line="360" w:lineRule="auto"/>
        <w:rPr>
          <w:rFonts w:ascii="宋体" w:hAnsi="宋体" w:eastAsia="宋体" w:cs="Times New Roman"/>
          <w:b/>
          <w:sz w:val="32"/>
          <w:szCs w:val="32"/>
        </w:rPr>
      </w:pPr>
    </w:p>
    <w:p>
      <w:pPr>
        <w:spacing w:line="360" w:lineRule="auto"/>
        <w:rPr>
          <w:rFonts w:ascii="宋体" w:hAnsi="宋体" w:eastAsia="宋体" w:cs="宋体"/>
          <w:b/>
          <w:sz w:val="24"/>
          <w:szCs w:val="20"/>
        </w:rPr>
      </w:pPr>
      <w:bookmarkStart w:id="1" w:name="_GoBack"/>
      <w:bookmarkEnd w:id="1"/>
    </w:p>
    <w:p>
      <w:pPr>
        <w:tabs>
          <w:tab w:val="left" w:pos="5433"/>
        </w:tabs>
        <w:spacing w:line="360" w:lineRule="auto"/>
        <w:ind w:firstLine="2249" w:firstLineChars="700"/>
        <w:rPr>
          <w:rFonts w:ascii="仿宋" w:hAnsi="仿宋" w:eastAsia="仿宋" w:cs="仿宋"/>
          <w:sz w:val="30"/>
          <w:szCs w:val="30"/>
        </w:rPr>
      </w:pPr>
      <w:r>
        <w:rPr>
          <w:rFonts w:hint="eastAsia" w:ascii="仿宋" w:hAnsi="仿宋" w:eastAsia="仿宋" w:cs="仿宋"/>
          <w:b/>
          <w:bCs/>
          <w:sz w:val="32"/>
          <w:szCs w:val="32"/>
        </w:rPr>
        <w:t>编号</w:t>
      </w:r>
      <w:r>
        <w:rPr>
          <w:rFonts w:hint="eastAsia" w:ascii="仿宋" w:hAnsi="仿宋" w:eastAsia="仿宋" w:cs="仿宋"/>
          <w:sz w:val="32"/>
          <w:szCs w:val="32"/>
        </w:rPr>
        <w:t>：</w:t>
      </w:r>
      <w:r>
        <w:rPr>
          <w:rFonts w:hint="eastAsia" w:asciiTheme="minorEastAsia" w:hAnsiTheme="minorEastAsia"/>
          <w:sz w:val="28"/>
          <w:szCs w:val="28"/>
          <w:u w:val="single"/>
        </w:rPr>
        <w:t>MYZYYY竞磋（2024）</w:t>
      </w:r>
      <w:r>
        <w:rPr>
          <w:rFonts w:hint="eastAsia" w:asciiTheme="minorEastAsia" w:hAnsiTheme="minorEastAsia"/>
          <w:sz w:val="28"/>
          <w:szCs w:val="28"/>
          <w:u w:val="single"/>
          <w:lang w:val="en-US" w:eastAsia="zh-CN"/>
        </w:rPr>
        <w:t>11</w:t>
      </w:r>
      <w:r>
        <w:rPr>
          <w:rFonts w:hint="eastAsia" w:asciiTheme="minorEastAsia" w:hAnsiTheme="minorEastAsia"/>
          <w:sz w:val="28"/>
          <w:szCs w:val="28"/>
          <w:u w:val="single"/>
        </w:rPr>
        <w:t>号</w:t>
      </w:r>
    </w:p>
    <w:p>
      <w:pPr>
        <w:ind w:firstLine="2249" w:firstLineChars="700"/>
        <w:rPr>
          <w:rFonts w:ascii="宋体" w:hAnsi="宋体" w:eastAsia="宋体" w:cs="宋体"/>
          <w:sz w:val="28"/>
          <w:szCs w:val="28"/>
          <w:u w:val="single"/>
        </w:rPr>
      </w:pPr>
      <w:r>
        <w:rPr>
          <w:rFonts w:hint="eastAsia" w:ascii="仿宋" w:hAnsi="仿宋" w:eastAsia="仿宋" w:cs="仿宋"/>
          <w:b/>
          <w:bCs/>
          <w:sz w:val="32"/>
          <w:szCs w:val="32"/>
        </w:rPr>
        <w:t xml:space="preserve">项目: </w:t>
      </w:r>
      <w:r>
        <w:rPr>
          <w:rFonts w:hint="eastAsia" w:asciiTheme="minorEastAsia" w:hAnsiTheme="minorEastAsia"/>
          <w:sz w:val="28"/>
          <w:szCs w:val="28"/>
          <w:u w:val="single"/>
        </w:rPr>
        <w:t>绵阳市中医医院电梯维保项目</w:t>
      </w:r>
    </w:p>
    <w:p>
      <w:pPr>
        <w:spacing w:line="360" w:lineRule="auto"/>
        <w:ind w:firstLine="2100" w:firstLineChars="700"/>
        <w:rPr>
          <w:rFonts w:ascii="仿宋" w:hAnsi="仿宋" w:eastAsia="仿宋" w:cs="仿宋"/>
          <w:sz w:val="30"/>
          <w:szCs w:val="30"/>
          <w:u w:val="single"/>
        </w:rPr>
      </w:pPr>
    </w:p>
    <w:p>
      <w:pPr>
        <w:spacing w:line="360" w:lineRule="auto"/>
        <w:jc w:val="center"/>
        <w:rPr>
          <w:rFonts w:ascii="Times New Roman" w:hAnsi="Times New Roman" w:eastAsia="宋体" w:cs="Times New Roman"/>
          <w:b/>
          <w:bCs/>
          <w:sz w:val="36"/>
          <w:szCs w:val="36"/>
          <w:lang w:val="zh-CN"/>
        </w:rPr>
      </w:pPr>
    </w:p>
    <w:p>
      <w:pPr>
        <w:spacing w:line="360" w:lineRule="auto"/>
        <w:rPr>
          <w:rFonts w:ascii="Times New Roman" w:hAnsi="Times New Roman" w:eastAsia="宋体" w:cs="Times New Roman"/>
          <w:sz w:val="24"/>
          <w:szCs w:val="24"/>
          <w:lang w:val="zh-CN"/>
        </w:rPr>
      </w:pPr>
    </w:p>
    <w:p>
      <w:pPr>
        <w:spacing w:line="360" w:lineRule="auto"/>
        <w:rPr>
          <w:rFonts w:ascii="Times New Roman" w:hAnsi="Times New Roman" w:eastAsia="宋体" w:cs="Times New Roman"/>
          <w:sz w:val="24"/>
          <w:szCs w:val="24"/>
          <w:lang w:val="zh-CN"/>
        </w:rPr>
      </w:pPr>
    </w:p>
    <w:p>
      <w:pPr>
        <w:spacing w:line="360" w:lineRule="auto"/>
        <w:rPr>
          <w:rFonts w:ascii="Times New Roman" w:hAnsi="Times New Roman" w:eastAsia="宋体" w:cs="Times New Roman"/>
          <w:sz w:val="24"/>
          <w:szCs w:val="24"/>
          <w:lang w:val="zh-CN"/>
        </w:rPr>
      </w:pPr>
    </w:p>
    <w:p>
      <w:pPr>
        <w:pStyle w:val="16"/>
        <w:rPr>
          <w:lang w:val="zh-CN"/>
        </w:rPr>
      </w:pPr>
    </w:p>
    <w:p>
      <w:pPr>
        <w:spacing w:line="360" w:lineRule="auto"/>
        <w:rPr>
          <w:rFonts w:ascii="Times New Roman" w:hAnsi="Times New Roman" w:eastAsia="宋体" w:cs="Times New Roman"/>
          <w:sz w:val="24"/>
          <w:szCs w:val="24"/>
          <w:lang w:val="zh-CN"/>
        </w:rPr>
      </w:pPr>
    </w:p>
    <w:p>
      <w:pPr>
        <w:pStyle w:val="6"/>
        <w:rPr>
          <w:lang w:val="zh-CN"/>
        </w:rPr>
      </w:pPr>
    </w:p>
    <w:p>
      <w:pPr>
        <w:pStyle w:val="18"/>
        <w:ind w:firstLine="241"/>
        <w:rPr>
          <w:lang w:val="zh-CN"/>
        </w:rPr>
      </w:pPr>
    </w:p>
    <w:p>
      <w:pPr>
        <w:pStyle w:val="19"/>
        <w:spacing w:before="156"/>
        <w:ind w:firstLine="488"/>
        <w:rPr>
          <w:lang w:val="zh-CN"/>
        </w:rPr>
      </w:pPr>
    </w:p>
    <w:p>
      <w:pPr>
        <w:pStyle w:val="19"/>
        <w:spacing w:before="156"/>
        <w:ind w:firstLine="488"/>
        <w:rPr>
          <w:lang w:val="zh-CN"/>
        </w:rPr>
      </w:pPr>
    </w:p>
    <w:p>
      <w:pPr>
        <w:spacing w:line="360" w:lineRule="auto"/>
        <w:rPr>
          <w:rFonts w:ascii="Times New Roman" w:hAnsi="Times New Roman" w:eastAsia="宋体" w:cs="Times New Roman"/>
          <w:sz w:val="24"/>
          <w:szCs w:val="24"/>
          <w:lang w:val="zh-CN"/>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竞争性磋商邀请</w:t>
      </w:r>
    </w:p>
    <w:p/>
    <w:p>
      <w:pPr>
        <w:spacing w:line="360" w:lineRule="auto"/>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根据医院工作需要，拟对绵阳市中医医院电梯维保项目进行竞争性磋商采购以下项目，现将有关事项公告如下：</w:t>
      </w:r>
    </w:p>
    <w:p>
      <w:pPr>
        <w:rPr>
          <w:rFonts w:ascii="仿宋" w:hAnsi="仿宋" w:eastAsia="仿宋" w:cs="仿宋"/>
          <w:b/>
          <w:sz w:val="24"/>
          <w:szCs w:val="24"/>
        </w:rPr>
      </w:pPr>
      <w:r>
        <w:rPr>
          <w:rFonts w:hint="eastAsia" w:ascii="仿宋" w:hAnsi="仿宋" w:eastAsia="仿宋" w:cs="仿宋"/>
          <w:b/>
          <w:sz w:val="24"/>
          <w:szCs w:val="24"/>
        </w:rPr>
        <w:t>一、项目概况</w:t>
      </w:r>
    </w:p>
    <w:p>
      <w:pPr>
        <w:rPr>
          <w:rFonts w:ascii="仿宋" w:hAnsi="仿宋" w:eastAsia="仿宋" w:cs="仿宋"/>
          <w:sz w:val="24"/>
          <w:szCs w:val="24"/>
        </w:rPr>
      </w:pPr>
      <w:r>
        <w:rPr>
          <w:rFonts w:hint="eastAsia" w:ascii="仿宋" w:hAnsi="仿宋" w:eastAsia="仿宋" w:cs="仿宋"/>
          <w:sz w:val="24"/>
          <w:szCs w:val="24"/>
        </w:rPr>
        <w:t>1.项目名称：</w:t>
      </w:r>
      <w:r>
        <w:rPr>
          <w:rFonts w:hint="eastAsia" w:ascii="仿宋" w:hAnsi="仿宋" w:eastAsia="仿宋" w:cs="仿宋"/>
          <w:color w:val="000000"/>
          <w:kern w:val="0"/>
          <w:sz w:val="24"/>
          <w:szCs w:val="24"/>
        </w:rPr>
        <w:t>绵阳市中医医院电梯维保项目</w:t>
      </w:r>
    </w:p>
    <w:p>
      <w:pPr>
        <w:rPr>
          <w:rFonts w:hint="eastAsia" w:ascii="仿宋" w:hAnsi="仿宋" w:eastAsia="仿宋" w:cs="仿宋"/>
          <w:sz w:val="24"/>
          <w:szCs w:val="24"/>
        </w:rPr>
      </w:pPr>
      <w:r>
        <w:rPr>
          <w:rFonts w:hint="eastAsia" w:ascii="仿宋" w:hAnsi="仿宋" w:eastAsia="仿宋" w:cs="仿宋"/>
          <w:sz w:val="24"/>
          <w:szCs w:val="24"/>
        </w:rPr>
        <w:t>2.项目概况：</w:t>
      </w:r>
    </w:p>
    <w:p>
      <w:pPr>
        <w:rPr>
          <w:rFonts w:hint="eastAsia" w:ascii="仿宋" w:hAnsi="仿宋" w:eastAsia="仿宋" w:cs="仿宋"/>
          <w:color w:val="786256"/>
          <w:kern w:val="0"/>
          <w:sz w:val="28"/>
          <w:szCs w:val="28"/>
          <w:shd w:val="clear" w:color="auto" w:fill="FFFFFF"/>
          <w:lang w:val="en-US" w:eastAsia="zh-CN" w:bidi="ar"/>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b/>
          <w:bCs/>
          <w:color w:val="000000"/>
          <w:kern w:val="0"/>
          <w:sz w:val="24"/>
          <w:szCs w:val="24"/>
          <w:lang w:val="en-US" w:eastAsia="zh-CN"/>
        </w:rPr>
        <w:t>维保限价</w:t>
      </w:r>
      <w:r>
        <w:rPr>
          <w:rFonts w:hint="eastAsia" w:ascii="仿宋" w:hAnsi="仿宋" w:eastAsia="仿宋" w:cs="仿宋"/>
          <w:color w:val="000000"/>
          <w:kern w:val="0"/>
          <w:sz w:val="24"/>
          <w:szCs w:val="24"/>
          <w:lang w:val="en-US" w:eastAsia="zh-CN"/>
        </w:rPr>
        <w:t>：每一台电梯价格均不得高于3500元/年。超过3500元，按废标处理。</w:t>
      </w:r>
      <w:r>
        <w:rPr>
          <w:rFonts w:hint="eastAsia" w:ascii="Times New Roman" w:hAnsi="Times New Roman" w:eastAsia="宋体" w:cs="Times New Roman"/>
          <w:color w:val="FF0000"/>
          <w:sz w:val="24"/>
        </w:rPr>
        <w:t>报价时，需分别列出每台电梯的维保价格，并给出总价</w:t>
      </w:r>
      <w:r>
        <w:rPr>
          <w:rFonts w:hint="eastAsia" w:ascii="仿宋" w:hAnsi="仿宋" w:eastAsia="仿宋" w:cs="仿宋"/>
          <w:color w:val="786256"/>
          <w:kern w:val="0"/>
          <w:sz w:val="28"/>
          <w:szCs w:val="28"/>
          <w:shd w:val="clear" w:color="auto" w:fill="FFFFFF"/>
          <w:lang w:val="en-US" w:eastAsia="zh-CN" w:bidi="ar"/>
        </w:rPr>
        <w:t>。</w:t>
      </w:r>
    </w:p>
    <w:p>
      <w:pPr>
        <w:spacing w:line="480" w:lineRule="auto"/>
        <w:ind w:firstLine="360" w:firstLineChars="150"/>
        <w:rPr>
          <w:rFonts w:hint="eastAsia" w:ascii="Times New Roman" w:hAnsi="Times New Roman" w:eastAsia="宋体" w:cs="Times New Roman"/>
          <w:color w:val="FF0000"/>
          <w:sz w:val="24"/>
          <w:lang w:eastAsia="zh-CN"/>
        </w:rPr>
      </w:pPr>
      <w:r>
        <w:rPr>
          <w:rFonts w:hint="eastAsia" w:ascii="宋体" w:hAnsi="宋体" w:cs="宋体"/>
          <w:color w:val="auto"/>
          <w:sz w:val="24"/>
          <w:szCs w:val="24"/>
        </w:rPr>
        <w:t>该</w:t>
      </w:r>
      <w:r>
        <w:rPr>
          <w:rFonts w:hint="eastAsia" w:ascii="宋体" w:hAnsi="宋体" w:cs="宋体"/>
          <w:color w:val="auto"/>
          <w:sz w:val="24"/>
          <w:szCs w:val="24"/>
          <w:lang w:eastAsia="zh-CN"/>
        </w:rPr>
        <w:t>维保费</w:t>
      </w:r>
      <w:r>
        <w:rPr>
          <w:rFonts w:hint="eastAsia" w:ascii="宋体" w:hAnsi="宋体" w:cs="宋体"/>
          <w:color w:val="auto"/>
          <w:sz w:val="24"/>
          <w:szCs w:val="24"/>
        </w:rPr>
        <w:t>包含</w:t>
      </w:r>
      <w:r>
        <w:rPr>
          <w:rFonts w:hint="eastAsia"/>
          <w:color w:val="auto"/>
          <w:sz w:val="24"/>
        </w:rPr>
        <w:t>500元及以下的配件更换费用，</w:t>
      </w:r>
      <w:r>
        <w:rPr>
          <w:rFonts w:hint="eastAsia" w:ascii="宋体" w:hAnsi="宋体" w:cs="宋体"/>
          <w:color w:val="auto"/>
          <w:sz w:val="24"/>
          <w:szCs w:val="24"/>
        </w:rPr>
        <w:t>不包含500元以上配件更换费用,</w:t>
      </w:r>
      <w:r>
        <w:rPr>
          <w:rFonts w:hint="eastAsia"/>
          <w:color w:val="auto"/>
          <w:sz w:val="24"/>
        </w:rPr>
        <w:t>500元以上的配件费用按照合同价格</w:t>
      </w:r>
      <w:r>
        <w:rPr>
          <w:rFonts w:hint="eastAsia"/>
          <w:color w:val="auto"/>
          <w:sz w:val="24"/>
          <w:lang w:eastAsia="zh-CN"/>
        </w:rPr>
        <w:t>另行</w:t>
      </w:r>
      <w:r>
        <w:rPr>
          <w:rFonts w:hint="eastAsia"/>
          <w:color w:val="auto"/>
          <w:sz w:val="24"/>
        </w:rPr>
        <w:t>支付。</w:t>
      </w:r>
    </w:p>
    <w:p>
      <w:pPr>
        <w:spacing w:line="480" w:lineRule="auto"/>
        <w:ind w:firstLine="360" w:firstLineChars="150"/>
        <w:rPr>
          <w:rFonts w:hint="eastAsia" w:ascii="Times New Roman" w:hAnsi="Times New Roman" w:eastAsia="宋体" w:cs="Times New Roman"/>
          <w:color w:val="FF0000"/>
          <w:sz w:val="24"/>
          <w:lang w:eastAsia="zh-CN"/>
        </w:rPr>
      </w:pPr>
      <w:r>
        <w:rPr>
          <w:rFonts w:hint="eastAsia" w:ascii="Times New Roman" w:hAnsi="Times New Roman" w:eastAsia="宋体" w:cs="Times New Roman"/>
          <w:color w:val="FF0000"/>
          <w:sz w:val="24"/>
          <w:lang w:eastAsia="zh-CN"/>
        </w:rPr>
        <w:t>采购人列出</w:t>
      </w:r>
      <w:r>
        <w:rPr>
          <w:rFonts w:hint="eastAsia" w:ascii="Times New Roman" w:hAnsi="Times New Roman" w:eastAsia="宋体" w:cs="Times New Roman"/>
          <w:color w:val="FF0000"/>
          <w:sz w:val="24"/>
        </w:rPr>
        <w:t>500元以上配件价格清单</w:t>
      </w:r>
      <w:r>
        <w:rPr>
          <w:rFonts w:hint="eastAsia" w:ascii="Times New Roman" w:hAnsi="Times New Roman" w:eastAsia="宋体" w:cs="Times New Roman"/>
          <w:color w:val="FF0000"/>
          <w:sz w:val="24"/>
          <w:lang w:eastAsia="zh-CN"/>
        </w:rPr>
        <w:t>，给出了每个配件的最高限价，投标人报整体下浮率。</w:t>
      </w:r>
    </w:p>
    <w:p>
      <w:pPr>
        <w:spacing w:line="480" w:lineRule="auto"/>
        <w:ind w:firstLine="360" w:firstLineChars="150"/>
        <w:rPr>
          <w:rFonts w:hint="eastAsia" w:ascii="Times New Roman" w:hAnsi="Times New Roman" w:eastAsia="宋体" w:cs="Times New Roman"/>
          <w:color w:val="FF0000"/>
          <w:sz w:val="24"/>
          <w:lang w:val="en-US" w:eastAsia="zh-CN"/>
        </w:rPr>
      </w:pPr>
      <w:r>
        <w:rPr>
          <w:rFonts w:hint="eastAsia" w:ascii="Times New Roman" w:hAnsi="Times New Roman" w:eastAsia="宋体" w:cs="Times New Roman"/>
          <w:color w:val="FF0000"/>
          <w:sz w:val="24"/>
          <w:lang w:eastAsia="zh-CN"/>
        </w:rPr>
        <w:t>每个</w:t>
      </w:r>
      <w:r>
        <w:rPr>
          <w:rFonts w:hint="eastAsia" w:ascii="Times New Roman" w:hAnsi="Times New Roman" w:eastAsia="宋体" w:cs="Times New Roman"/>
          <w:color w:val="FF0000"/>
          <w:sz w:val="24"/>
          <w:lang w:val="en-US" w:eastAsia="zh-CN"/>
        </w:rPr>
        <w:t>500元以上</w:t>
      </w:r>
      <w:r>
        <w:rPr>
          <w:rFonts w:hint="eastAsia" w:ascii="Times New Roman" w:hAnsi="Times New Roman" w:eastAsia="宋体" w:cs="Times New Roman"/>
          <w:color w:val="FF0000"/>
          <w:sz w:val="24"/>
          <w:lang w:eastAsia="zh-CN"/>
        </w:rPr>
        <w:t>配件的合同价</w:t>
      </w:r>
      <w:r>
        <w:rPr>
          <w:rFonts w:hint="eastAsia" w:ascii="Times New Roman" w:hAnsi="Times New Roman" w:eastAsia="宋体" w:cs="Times New Roman"/>
          <w:color w:val="FF0000"/>
          <w:sz w:val="24"/>
          <w:lang w:val="en-US" w:eastAsia="zh-CN"/>
        </w:rPr>
        <w:t>=最高限价×（1 - 整体下浮率）。经过计算，如果某配件的合同价小于或者等于500元，该配件划入</w:t>
      </w:r>
      <w:r>
        <w:rPr>
          <w:rFonts w:hint="eastAsia" w:ascii="Times New Roman" w:hAnsi="Times New Roman" w:eastAsia="宋体" w:cs="Times New Roman"/>
          <w:color w:val="FF0000"/>
          <w:sz w:val="24"/>
          <w:lang w:eastAsia="zh-CN"/>
        </w:rPr>
        <w:t>500元及以下免费更换配件</w:t>
      </w:r>
      <w:r>
        <w:rPr>
          <w:rFonts w:hint="eastAsia"/>
          <w:color w:val="FF0000"/>
          <w:sz w:val="24"/>
          <w:lang w:eastAsia="zh-CN"/>
        </w:rPr>
        <w:t>范围，更换时甲方不支付任何费用。</w:t>
      </w:r>
    </w:p>
    <w:p>
      <w:pPr>
        <w:numPr>
          <w:ilvl w:val="0"/>
          <w:numId w:val="0"/>
        </w:numPr>
        <w:rPr>
          <w:rFonts w:hint="eastAsia" w:ascii="仿宋" w:hAnsi="仿宋" w:eastAsia="仿宋" w:cs="仿宋"/>
          <w:color w:val="000000"/>
          <w:kern w:val="0"/>
          <w:sz w:val="24"/>
          <w:szCs w:val="24"/>
          <w:lang w:val="en-US" w:eastAsia="zh-CN"/>
        </w:rPr>
      </w:pPr>
    </w:p>
    <w:p>
      <w:pPr>
        <w:numPr>
          <w:ilvl w:val="0"/>
          <w:numId w:val="0"/>
        </w:numPr>
        <w:ind w:firstLine="482" w:firstLineChars="200"/>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维保数量及电梯情况：</w:t>
      </w:r>
    </w:p>
    <w:tbl>
      <w:tblPr>
        <w:tblStyle w:val="21"/>
        <w:tblW w:w="7977" w:type="dxa"/>
        <w:tblInd w:w="518" w:type="dxa"/>
        <w:tblLayout w:type="autofit"/>
        <w:tblCellMar>
          <w:top w:w="0" w:type="dxa"/>
          <w:left w:w="0" w:type="dxa"/>
          <w:bottom w:w="0" w:type="dxa"/>
          <w:right w:w="0" w:type="dxa"/>
        </w:tblCellMar>
      </w:tblPr>
      <w:tblGrid>
        <w:gridCol w:w="963"/>
        <w:gridCol w:w="794"/>
        <w:gridCol w:w="2585"/>
        <w:gridCol w:w="1816"/>
        <w:gridCol w:w="956"/>
        <w:gridCol w:w="863"/>
      </w:tblGrid>
      <w:tr>
        <w:tblPrEx>
          <w:tblCellMar>
            <w:top w:w="0" w:type="dxa"/>
            <w:left w:w="0" w:type="dxa"/>
            <w:bottom w:w="0" w:type="dxa"/>
            <w:right w:w="0" w:type="dxa"/>
          </w:tblCellMar>
        </w:tblPrEx>
        <w:trPr>
          <w:trHeight w:val="619" w:hRule="atLeast"/>
        </w:trPr>
        <w:tc>
          <w:tcPr>
            <w:tcW w:w="9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color w:val="auto"/>
                <w:kern w:val="0"/>
                <w:sz w:val="24"/>
                <w:szCs w:val="24"/>
              </w:rPr>
            </w:pPr>
            <w:r>
              <w:rPr>
                <w:rFonts w:hint="eastAsia" w:ascii="仿宋_GB2312" w:hAnsi="宋体" w:eastAsia="仿宋_GB2312" w:cs="宋体"/>
                <w:color w:val="auto"/>
                <w:kern w:val="0"/>
                <w:sz w:val="24"/>
                <w:szCs w:val="24"/>
              </w:rPr>
              <w:t>名称</w:t>
            </w:r>
          </w:p>
        </w:tc>
        <w:tc>
          <w:tcPr>
            <w:tcW w:w="794"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color w:val="auto"/>
                <w:kern w:val="0"/>
                <w:sz w:val="24"/>
                <w:szCs w:val="24"/>
              </w:rPr>
            </w:pPr>
            <w:r>
              <w:rPr>
                <w:rFonts w:hint="eastAsia" w:ascii="仿宋_GB2312" w:hAnsi="宋体" w:eastAsia="仿宋_GB2312" w:cs="宋体"/>
                <w:color w:val="auto"/>
                <w:kern w:val="0"/>
                <w:sz w:val="24"/>
                <w:szCs w:val="24"/>
              </w:rPr>
              <w:t>品牌</w:t>
            </w:r>
          </w:p>
        </w:tc>
        <w:tc>
          <w:tcPr>
            <w:tcW w:w="25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color w:val="auto"/>
                <w:kern w:val="0"/>
                <w:sz w:val="24"/>
                <w:szCs w:val="24"/>
              </w:rPr>
            </w:pPr>
            <w:r>
              <w:rPr>
                <w:rFonts w:hint="eastAsia" w:ascii="仿宋_GB2312" w:hAnsi="宋体" w:eastAsia="仿宋_GB2312" w:cs="宋体"/>
                <w:color w:val="auto"/>
                <w:kern w:val="0"/>
                <w:sz w:val="24"/>
                <w:szCs w:val="24"/>
              </w:rPr>
              <w:t>型号.规格</w:t>
            </w:r>
          </w:p>
        </w:tc>
        <w:tc>
          <w:tcPr>
            <w:tcW w:w="181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cs="宋体"/>
                <w:color w:val="auto"/>
                <w:kern w:val="0"/>
                <w:sz w:val="24"/>
                <w:szCs w:val="24"/>
              </w:rPr>
            </w:pPr>
            <w:r>
              <w:rPr>
                <w:rFonts w:hint="eastAsia" w:ascii="仿宋_GB2312" w:hAnsi="宋体" w:eastAsia="仿宋_GB2312" w:cs="宋体"/>
                <w:color w:val="auto"/>
                <w:kern w:val="0"/>
                <w:sz w:val="24"/>
                <w:szCs w:val="24"/>
              </w:rPr>
              <w:t>层/站</w:t>
            </w:r>
          </w:p>
        </w:tc>
        <w:tc>
          <w:tcPr>
            <w:tcW w:w="95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ascii="宋体" w:hAnsi="宋体" w:cs="宋体"/>
                <w:color w:val="auto"/>
                <w:kern w:val="0"/>
                <w:sz w:val="24"/>
                <w:szCs w:val="24"/>
              </w:rPr>
            </w:pPr>
            <w:r>
              <w:rPr>
                <w:rFonts w:hint="eastAsia" w:ascii="仿宋_GB2312" w:hAnsi="宋体" w:eastAsia="仿宋_GB2312" w:cs="宋体"/>
                <w:color w:val="auto"/>
                <w:kern w:val="0"/>
                <w:sz w:val="24"/>
                <w:szCs w:val="24"/>
              </w:rPr>
              <w:t>数量(台)</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位置</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Cs w:val="21"/>
              </w:rPr>
            </w:pPr>
            <w:r>
              <w:rPr>
                <w:rFonts w:hint="eastAsia" w:ascii="宋体" w:hAnsi="宋体" w:cs="宋体"/>
                <w:bCs/>
                <w:color w:val="auto"/>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Cs w:val="21"/>
              </w:rPr>
            </w:pPr>
            <w:r>
              <w:rPr>
                <w:rFonts w:hint="eastAsia"/>
                <w:color w:val="auto"/>
                <w:szCs w:val="21"/>
              </w:rPr>
              <w:t>VB1600/1.75-VVVF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Cs w:val="21"/>
              </w:rPr>
            </w:pPr>
            <w:r>
              <w:rPr>
                <w:rFonts w:hint="eastAsia" w:ascii="仿宋_GB2312" w:hAnsi="宋体" w:eastAsia="仿宋_GB2312" w:cs="宋体"/>
                <w:color w:val="auto"/>
                <w:kern w:val="0"/>
                <w:szCs w:val="21"/>
              </w:rPr>
              <w:t>14/14</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ascii="仿宋_GB2312" w:hAnsi="宋体" w:eastAsia="仿宋_GB2312" w:cs="宋体"/>
                <w:color w:val="auto"/>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住院楼</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ascii="宋体" w:hAnsi="宋体" w:cs="宋体"/>
                <w:bCs/>
                <w:color w:val="auto"/>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color w:val="auto"/>
                <w:szCs w:val="21"/>
              </w:rPr>
              <w:t>VE1000/1.75-VVVF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ascii="仿宋_GB2312" w:hAnsi="宋体" w:eastAsia="仿宋_GB2312" w:cs="宋体"/>
                <w:color w:val="auto"/>
                <w:kern w:val="0"/>
                <w:szCs w:val="21"/>
              </w:rPr>
              <w:t>14/14</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住院楼</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bCs/>
                <w:color w:val="auto"/>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VB1600/1.75-VVVF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仿宋_GB2312" w:hAnsi="宋体" w:eastAsia="仿宋_GB2312" w:cs="宋体"/>
                <w:color w:val="auto"/>
                <w:kern w:val="0"/>
                <w:szCs w:val="21"/>
              </w:rPr>
              <w:t>15/15</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仿宋_GB2312" w:hAnsi="宋体" w:eastAsia="仿宋_GB2312" w:cs="宋体"/>
                <w:color w:val="auto"/>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住院楼</w:t>
            </w:r>
          </w:p>
        </w:tc>
      </w:tr>
      <w:tr>
        <w:tblPrEx>
          <w:tblCellMar>
            <w:top w:w="0" w:type="dxa"/>
            <w:left w:w="0" w:type="dxa"/>
            <w:bottom w:w="0" w:type="dxa"/>
            <w:right w:w="0" w:type="dxa"/>
          </w:tblCellMar>
        </w:tblPrEx>
        <w:trPr>
          <w:trHeight w:val="800"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bCs/>
                <w:color w:val="auto"/>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VB1600/1.0-200</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仿宋_GB2312" w:hAnsi="宋体" w:eastAsia="仿宋_GB2312" w:cs="宋体"/>
                <w:color w:val="auto"/>
                <w:kern w:val="0"/>
                <w:szCs w:val="21"/>
              </w:rPr>
              <w:t>8/8</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仿宋_GB2312" w:hAnsi="宋体" w:eastAsia="仿宋_GB2312" w:cs="宋体"/>
                <w:color w:val="auto"/>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南桥分院</w:t>
            </w:r>
          </w:p>
        </w:tc>
      </w:tr>
      <w:tr>
        <w:tblPrEx>
          <w:tblCellMar>
            <w:top w:w="0" w:type="dxa"/>
            <w:left w:w="0" w:type="dxa"/>
            <w:bottom w:w="0" w:type="dxa"/>
            <w:right w:w="0" w:type="dxa"/>
          </w:tblCellMar>
        </w:tblPrEx>
        <w:tc>
          <w:tcPr>
            <w:tcW w:w="96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auto"/>
                <w:kern w:val="0"/>
                <w:szCs w:val="21"/>
              </w:rPr>
            </w:pPr>
            <w:r>
              <w:rPr>
                <w:rFonts w:hint="eastAsia" w:ascii="宋体" w:hAnsi="宋体" w:cs="宋体"/>
                <w:bCs/>
                <w:color w:val="auto"/>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Max-B1600-2S1.75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22/22</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3</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怀恩楼</w:t>
            </w:r>
          </w:p>
        </w:tc>
      </w:tr>
      <w:tr>
        <w:tblPrEx>
          <w:tblCellMar>
            <w:top w:w="0" w:type="dxa"/>
            <w:left w:w="0" w:type="dxa"/>
            <w:bottom w:w="0" w:type="dxa"/>
            <w:right w:w="0" w:type="dxa"/>
          </w:tblCellMar>
        </w:tblPrEx>
        <w:tc>
          <w:tcPr>
            <w:tcW w:w="963"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垂直梯</w:t>
            </w:r>
          </w:p>
        </w:tc>
        <w:tc>
          <w:tcPr>
            <w:tcW w:w="794"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auto"/>
                <w:kern w:val="0"/>
                <w:szCs w:val="21"/>
              </w:rPr>
            </w:pPr>
            <w:r>
              <w:rPr>
                <w:rFonts w:hint="eastAsia" w:ascii="宋体" w:hAnsi="宋体" w:cs="宋体"/>
                <w:bCs/>
                <w:color w:val="auto"/>
                <w:kern w:val="0"/>
                <w:szCs w:val="21"/>
              </w:rPr>
              <w:t>广日</w:t>
            </w:r>
          </w:p>
        </w:tc>
        <w:tc>
          <w:tcPr>
            <w:tcW w:w="2585" w:type="dxa"/>
            <w:tcBorders>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Max-B1800-2S1.75</w:t>
            </w:r>
          </w:p>
        </w:tc>
        <w:tc>
          <w:tcPr>
            <w:tcW w:w="1816" w:type="dxa"/>
            <w:tcBorders>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22/22</w:t>
            </w:r>
          </w:p>
        </w:tc>
        <w:tc>
          <w:tcPr>
            <w:tcW w:w="956"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863" w:type="dxa"/>
            <w:tcBorders>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怀恩楼</w:t>
            </w:r>
          </w:p>
        </w:tc>
      </w:tr>
      <w:tr>
        <w:tblPrEx>
          <w:tblCellMar>
            <w:top w:w="0" w:type="dxa"/>
            <w:left w:w="0" w:type="dxa"/>
            <w:bottom w:w="0" w:type="dxa"/>
            <w:right w:w="0" w:type="dxa"/>
          </w:tblCellMar>
        </w:tblPrEx>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auto"/>
                <w:kern w:val="0"/>
                <w:szCs w:val="21"/>
              </w:rPr>
            </w:pPr>
            <w:r>
              <w:rPr>
                <w:rFonts w:hint="eastAsia" w:ascii="宋体" w:hAnsi="宋体" w:cs="宋体"/>
                <w:bCs/>
                <w:color w:val="auto"/>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Max1000-CO1.75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20/15</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怀恩楼</w:t>
            </w:r>
          </w:p>
        </w:tc>
      </w:tr>
      <w:tr>
        <w:tblPrEx>
          <w:tblCellMar>
            <w:top w:w="0" w:type="dxa"/>
            <w:left w:w="0" w:type="dxa"/>
            <w:bottom w:w="0" w:type="dxa"/>
            <w:right w:w="0" w:type="dxa"/>
          </w:tblCellMar>
        </w:tblPrEx>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auto"/>
                <w:kern w:val="0"/>
                <w:szCs w:val="21"/>
              </w:rPr>
            </w:pPr>
            <w:r>
              <w:rPr>
                <w:rFonts w:hint="eastAsia" w:ascii="宋体" w:hAnsi="宋体" w:cs="宋体"/>
                <w:bCs/>
                <w:color w:val="auto"/>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Max-B1600-2S1.75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10/10</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怀恩楼</w:t>
            </w:r>
          </w:p>
        </w:tc>
      </w:tr>
    </w:tbl>
    <w:p>
      <w:pPr>
        <w:numPr>
          <w:ilvl w:val="0"/>
          <w:numId w:val="0"/>
        </w:numPr>
        <w:ind w:firstLine="240" w:firstLineChars="100"/>
        <w:rPr>
          <w:rFonts w:hint="eastAsia" w:ascii="仿宋" w:hAnsi="仿宋" w:eastAsia="仿宋" w:cs="仿宋"/>
          <w:color w:val="000000"/>
          <w:kern w:val="0"/>
          <w:sz w:val="24"/>
          <w:szCs w:val="24"/>
          <w:lang w:val="en-US" w:eastAsia="zh-CN"/>
        </w:rPr>
      </w:pPr>
      <w:r>
        <w:rPr>
          <w:rFonts w:hint="eastAsia"/>
          <w:color w:val="auto"/>
          <w:sz w:val="24"/>
        </w:rPr>
        <w:t>维保合同期限三年，合同一年一签，由甲方决定是否续签合同，乙方无条件接受。  在合同期间，如果乙方维保不满足合同要求或者不符合</w:t>
      </w:r>
      <w:r>
        <w:rPr>
          <w:rFonts w:hint="eastAsia"/>
          <w:color w:val="FF0000"/>
          <w:sz w:val="24"/>
          <w:lang w:eastAsia="zh-CN"/>
        </w:rPr>
        <w:t>现行</w:t>
      </w:r>
      <w:r>
        <w:rPr>
          <w:rFonts w:hint="eastAsia"/>
          <w:color w:val="auto"/>
          <w:sz w:val="24"/>
        </w:rPr>
        <w:t>电梯维保相关法律、法规、规则等要求，甲方有权单方面解除本合同，并追究乙方责任。</w:t>
      </w:r>
      <w:r>
        <w:rPr>
          <w:rFonts w:hint="eastAsia" w:ascii="仿宋" w:hAnsi="仿宋" w:eastAsia="仿宋" w:cs="仿宋"/>
          <w:color w:val="000000"/>
          <w:kern w:val="0"/>
          <w:sz w:val="24"/>
          <w:szCs w:val="24"/>
          <w:lang w:val="en-US" w:eastAsia="zh-CN"/>
        </w:rPr>
        <w:t xml:space="preserve"> </w:t>
      </w:r>
    </w:p>
    <w:p>
      <w:pPr>
        <w:numPr>
          <w:ilvl w:val="0"/>
          <w:numId w:val="0"/>
        </w:num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 本次招标维保电梯的总台数共计：13台。</w:t>
      </w:r>
    </w:p>
    <w:p>
      <w:pPr>
        <w:spacing w:line="360" w:lineRule="atLeast"/>
        <w:rPr>
          <w:rFonts w:ascii="仿宋" w:hAnsi="仿宋" w:eastAsia="仿宋" w:cs="仿宋"/>
          <w:sz w:val="24"/>
          <w:szCs w:val="24"/>
        </w:rPr>
      </w:pPr>
      <w:r>
        <w:rPr>
          <w:rFonts w:hint="eastAsia" w:ascii="仿宋" w:hAnsi="仿宋" w:eastAsia="仿宋" w:cs="仿宋"/>
          <w:sz w:val="24"/>
          <w:szCs w:val="24"/>
        </w:rPr>
        <w:t xml:space="preserve">3、采购方式：竞争性磋商方式，在密封报价基础上进行一轮或多轮磋商 </w:t>
      </w:r>
    </w:p>
    <w:p>
      <w:pPr>
        <w:spacing w:line="360" w:lineRule="atLeast"/>
        <w:rPr>
          <w:rFonts w:ascii="仿宋" w:hAnsi="仿宋" w:eastAsia="仿宋" w:cs="仿宋"/>
          <w:sz w:val="24"/>
          <w:szCs w:val="24"/>
        </w:rPr>
      </w:pPr>
      <w:r>
        <w:rPr>
          <w:rFonts w:hint="eastAsia" w:ascii="仿宋" w:hAnsi="仿宋" w:eastAsia="仿宋" w:cs="仿宋"/>
          <w:sz w:val="24"/>
          <w:szCs w:val="24"/>
        </w:rPr>
        <w:t>4、评审方法：综合评分法</w:t>
      </w:r>
    </w:p>
    <w:p>
      <w:pPr>
        <w:rPr>
          <w:rFonts w:ascii="仿宋" w:hAnsi="仿宋" w:eastAsia="仿宋" w:cs="仿宋"/>
          <w:b/>
          <w:sz w:val="24"/>
          <w:szCs w:val="24"/>
        </w:rPr>
      </w:pPr>
      <w:r>
        <w:rPr>
          <w:rFonts w:hint="eastAsia" w:ascii="仿宋" w:hAnsi="仿宋" w:eastAsia="仿宋" w:cs="仿宋"/>
          <w:b/>
          <w:sz w:val="24"/>
          <w:szCs w:val="24"/>
        </w:rPr>
        <w:t>二、供应商参加本次磋商，供应商具备下列条件：</w:t>
      </w:r>
    </w:p>
    <w:p>
      <w:pPr>
        <w:spacing w:line="360" w:lineRule="atLeast"/>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spacing w:line="360" w:lineRule="atLeast"/>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spacing w:line="360" w:lineRule="atLeast"/>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spacing w:line="360" w:lineRule="atLeast"/>
        <w:rPr>
          <w:rFonts w:hint="eastAsia" w:ascii="仿宋" w:hAnsi="仿宋" w:eastAsia="仿宋" w:cs="仿宋"/>
          <w:sz w:val="24"/>
          <w:szCs w:val="24"/>
        </w:rPr>
      </w:pPr>
      <w:r>
        <w:rPr>
          <w:rFonts w:hint="eastAsia" w:ascii="仿宋" w:hAnsi="仿宋" w:eastAsia="仿宋" w:cs="仿宋"/>
          <w:sz w:val="24"/>
          <w:szCs w:val="24"/>
        </w:rPr>
        <w:t>4、具有依法缴纳税收和社会保障资金的良好记录；</w:t>
      </w:r>
    </w:p>
    <w:p>
      <w:pPr>
        <w:spacing w:line="360" w:lineRule="atLeast"/>
        <w:rPr>
          <w:rFonts w:hint="eastAsia" w:ascii="仿宋" w:hAnsi="仿宋" w:eastAsia="仿宋" w:cs="仿宋"/>
          <w:sz w:val="24"/>
          <w:szCs w:val="24"/>
        </w:rPr>
      </w:pPr>
      <w:r>
        <w:rPr>
          <w:rFonts w:hint="eastAsia" w:ascii="仿宋" w:hAnsi="仿宋" w:eastAsia="仿宋" w:cs="仿宋"/>
          <w:sz w:val="24"/>
          <w:szCs w:val="24"/>
        </w:rPr>
        <w:t>5、参加本次采购活动前三年内，在经营活动中没有重大违法记录；</w:t>
      </w:r>
    </w:p>
    <w:p>
      <w:pPr>
        <w:spacing w:line="360" w:lineRule="atLeast"/>
        <w:rPr>
          <w:rFonts w:hint="eastAsia" w:ascii="仿宋" w:hAnsi="仿宋" w:eastAsia="仿宋" w:cs="仿宋"/>
          <w:sz w:val="24"/>
          <w:szCs w:val="24"/>
        </w:rPr>
      </w:pPr>
      <w:r>
        <w:rPr>
          <w:rFonts w:hint="eastAsia" w:ascii="仿宋" w:hAnsi="仿宋" w:eastAsia="仿宋" w:cs="仿宋"/>
          <w:sz w:val="24"/>
          <w:szCs w:val="24"/>
        </w:rPr>
        <w:t>6、 投标人须具有：《中华人民共和国特种设备生产许可证》 ，许可项目：电梯制造（含安装、修理、改造）或电梯安装（含修理），许可子项目：曳引驱动乘客电梯（含消防员电梯）；</w:t>
      </w:r>
    </w:p>
    <w:p>
      <w:pPr>
        <w:spacing w:line="360" w:lineRule="atLeas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本项目现场</w:t>
      </w:r>
      <w:r>
        <w:rPr>
          <w:rFonts w:hint="eastAsia" w:ascii="仿宋" w:hAnsi="仿宋" w:eastAsia="仿宋" w:cs="仿宋"/>
          <w:sz w:val="24"/>
          <w:szCs w:val="24"/>
          <w:lang w:eastAsia="zh-CN"/>
        </w:rPr>
        <w:t>维护、</w:t>
      </w:r>
      <w:r>
        <w:rPr>
          <w:rFonts w:hint="eastAsia" w:ascii="仿宋" w:hAnsi="仿宋" w:eastAsia="仿宋" w:cs="仿宋"/>
          <w:sz w:val="24"/>
          <w:szCs w:val="24"/>
        </w:rPr>
        <w:t>维修</w:t>
      </w:r>
      <w:r>
        <w:rPr>
          <w:rFonts w:hint="eastAsia" w:ascii="仿宋" w:hAnsi="仿宋" w:eastAsia="仿宋" w:cs="仿宋"/>
          <w:sz w:val="24"/>
          <w:szCs w:val="24"/>
          <w:lang w:eastAsia="zh-CN"/>
        </w:rPr>
        <w:t>、</w:t>
      </w:r>
      <w:r>
        <w:rPr>
          <w:rFonts w:hint="eastAsia" w:ascii="仿宋" w:hAnsi="仿宋" w:eastAsia="仿宋" w:cs="仿宋"/>
          <w:sz w:val="24"/>
          <w:szCs w:val="24"/>
        </w:rPr>
        <w:t>保养（简称：维保，下同）人员必须取得《特种设备作业人员证》，持证上岗；</w:t>
      </w:r>
    </w:p>
    <w:p>
      <w:pPr>
        <w:spacing w:line="360" w:lineRule="atLeast"/>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投标人应具有良好的维保业绩及信誉，以及在近3年内不存在违反招投标和政府采购相关法律法规的禁止行为，在</w:t>
      </w:r>
      <w:r>
        <w:rPr>
          <w:rFonts w:hint="eastAsia" w:ascii="仿宋" w:hAnsi="仿宋" w:eastAsia="仿宋" w:cs="仿宋"/>
          <w:sz w:val="24"/>
          <w:szCs w:val="24"/>
          <w:lang w:eastAsia="zh-CN"/>
        </w:rPr>
        <w:t>维护、</w:t>
      </w:r>
      <w:r>
        <w:rPr>
          <w:rFonts w:hint="eastAsia" w:ascii="仿宋" w:hAnsi="仿宋" w:eastAsia="仿宋" w:cs="仿宋"/>
          <w:sz w:val="24"/>
          <w:szCs w:val="24"/>
        </w:rPr>
        <w:t>维</w:t>
      </w:r>
      <w:r>
        <w:rPr>
          <w:rFonts w:hint="eastAsia" w:ascii="仿宋" w:hAnsi="仿宋" w:eastAsia="仿宋" w:cs="仿宋"/>
          <w:sz w:val="24"/>
          <w:szCs w:val="24"/>
          <w:lang w:eastAsia="zh-CN"/>
        </w:rPr>
        <w:t>修</w:t>
      </w:r>
      <w:r>
        <w:rPr>
          <w:rFonts w:hint="eastAsia" w:ascii="仿宋" w:hAnsi="仿宋" w:eastAsia="仿宋" w:cs="仿宋"/>
          <w:sz w:val="24"/>
          <w:szCs w:val="24"/>
        </w:rPr>
        <w:t>、修理过程中未发生过重大安全责任事故</w:t>
      </w:r>
      <w:r>
        <w:rPr>
          <w:rFonts w:hint="eastAsia" w:ascii="仿宋" w:hAnsi="仿宋" w:eastAsia="仿宋" w:cs="仿宋"/>
          <w:sz w:val="24"/>
          <w:szCs w:val="24"/>
          <w:lang w:val="en-US" w:eastAsia="zh-CN"/>
        </w:rPr>
        <w:t>;</w:t>
      </w:r>
    </w:p>
    <w:p>
      <w:pPr>
        <w:spacing w:line="360" w:lineRule="atLeast"/>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rPr>
        <w:t>不允许联合体投标。</w:t>
      </w:r>
    </w:p>
    <w:p>
      <w:pPr>
        <w:rPr>
          <w:rFonts w:ascii="仿宋" w:hAnsi="仿宋" w:eastAsia="仿宋" w:cs="仿宋"/>
          <w:b/>
          <w:bCs/>
          <w:sz w:val="24"/>
          <w:szCs w:val="24"/>
        </w:rPr>
      </w:pPr>
      <w:r>
        <w:rPr>
          <w:rFonts w:hint="eastAsia" w:ascii="仿宋" w:hAnsi="仿宋" w:eastAsia="仿宋" w:cs="仿宋"/>
          <w:b/>
          <w:bCs/>
          <w:sz w:val="24"/>
          <w:szCs w:val="24"/>
        </w:rPr>
        <w:t>三、开标时间和地点详见公告</w:t>
      </w:r>
    </w:p>
    <w:p>
      <w:pPr>
        <w:spacing w:line="360" w:lineRule="atLeast"/>
        <w:rPr>
          <w:rFonts w:ascii="仿宋" w:hAnsi="仿宋" w:eastAsia="仿宋" w:cs="仿宋"/>
          <w:b/>
          <w:bCs/>
          <w:sz w:val="24"/>
          <w:szCs w:val="24"/>
        </w:rPr>
      </w:pPr>
      <w:r>
        <w:rPr>
          <w:rFonts w:hint="eastAsia" w:ascii="仿宋" w:hAnsi="仿宋" w:eastAsia="仿宋" w:cs="仿宋"/>
          <w:b/>
          <w:bCs/>
          <w:sz w:val="24"/>
          <w:szCs w:val="24"/>
        </w:rPr>
        <w:t>四、响应文件内容</w:t>
      </w:r>
    </w:p>
    <w:p>
      <w:pPr>
        <w:pStyle w:val="5"/>
        <w:spacing w:line="320" w:lineRule="exact"/>
        <w:rPr>
          <w:rFonts w:ascii="仿宋" w:hAnsi="仿宋" w:eastAsia="仿宋" w:cs="仿宋"/>
          <w:sz w:val="24"/>
          <w:szCs w:val="24"/>
        </w:rPr>
      </w:pPr>
      <w:r>
        <w:rPr>
          <w:rFonts w:hint="eastAsia" w:ascii="仿宋" w:hAnsi="仿宋" w:eastAsia="仿宋" w:cs="仿宋"/>
          <w:b w:val="0"/>
          <w:bCs w:val="0"/>
          <w:color w:val="222222"/>
          <w:kern w:val="0"/>
          <w:sz w:val="24"/>
          <w:szCs w:val="24"/>
        </w:rPr>
        <w:t>（1）资格证明材料</w:t>
      </w:r>
      <w:r>
        <w:rPr>
          <w:rFonts w:hint="eastAsia" w:ascii="仿宋" w:hAnsi="仿宋" w:eastAsia="仿宋" w:cs="仿宋"/>
          <w:color w:val="222222"/>
          <w:kern w:val="0"/>
          <w:sz w:val="24"/>
          <w:szCs w:val="24"/>
        </w:rPr>
        <w:t>（详见</w:t>
      </w:r>
      <w:r>
        <w:rPr>
          <w:rFonts w:hint="eastAsia" w:ascii="仿宋" w:hAnsi="仿宋" w:eastAsia="仿宋" w:cs="仿宋"/>
          <w:sz w:val="24"/>
          <w:szCs w:val="24"/>
        </w:rPr>
        <w:t>投标人资格要求及资格证明文件</w:t>
      </w:r>
      <w:r>
        <w:rPr>
          <w:rFonts w:hint="eastAsia" w:ascii="仿宋" w:hAnsi="仿宋" w:eastAsia="仿宋" w:cs="仿宋"/>
          <w:color w:val="222222"/>
          <w:kern w:val="0"/>
          <w:sz w:val="24"/>
          <w:szCs w:val="24"/>
        </w:rPr>
        <w:t>）</w:t>
      </w:r>
      <w:r>
        <w:rPr>
          <w:rFonts w:hint="eastAsia" w:ascii="仿宋" w:hAnsi="仿宋" w:eastAsia="仿宋" w:cs="仿宋"/>
          <w:sz w:val="24"/>
          <w:szCs w:val="24"/>
        </w:rPr>
        <w:t>。</w:t>
      </w:r>
    </w:p>
    <w:p>
      <w:pPr>
        <w:widowControl/>
        <w:shd w:val="clear" w:color="auto" w:fill="FFFFFF"/>
        <w:spacing w:line="320" w:lineRule="exact"/>
        <w:jc w:val="left"/>
        <w:rPr>
          <w:rFonts w:ascii="仿宋" w:hAnsi="仿宋" w:eastAsia="仿宋" w:cs="仿宋"/>
          <w:b/>
          <w:sz w:val="24"/>
          <w:szCs w:val="24"/>
        </w:rPr>
      </w:pPr>
      <w:r>
        <w:rPr>
          <w:rFonts w:hint="eastAsia" w:ascii="仿宋" w:hAnsi="仿宋" w:eastAsia="仿宋" w:cs="仿宋"/>
          <w:color w:val="222222"/>
          <w:kern w:val="0"/>
          <w:sz w:val="24"/>
          <w:szCs w:val="24"/>
        </w:rPr>
        <w:t>（2）报价单（包括竞标人完成本项目所需的一切费用）。</w:t>
      </w:r>
    </w:p>
    <w:p>
      <w:pPr>
        <w:pStyle w:val="6"/>
        <w:rPr>
          <w:rFonts w:ascii="仿宋" w:hAnsi="仿宋" w:eastAsia="仿宋" w:cs="仿宋"/>
          <w:szCs w:val="24"/>
        </w:rPr>
      </w:pPr>
      <w:r>
        <w:rPr>
          <w:rFonts w:hint="eastAsia" w:ascii="仿宋" w:hAnsi="仿宋" w:eastAsia="仿宋" w:cs="仿宋"/>
          <w:color w:val="222222"/>
          <w:kern w:val="0"/>
          <w:szCs w:val="24"/>
        </w:rPr>
        <w:t>（3）</w:t>
      </w:r>
      <w:r>
        <w:rPr>
          <w:rFonts w:hint="eastAsia" w:ascii="仿宋" w:hAnsi="仿宋" w:eastAsia="仿宋" w:cs="仿宋"/>
          <w:color w:val="000000"/>
          <w:szCs w:val="24"/>
        </w:rPr>
        <w:t>法定代表人参加磋商需提供法定代表人身份证明复印件；非法定代表人参加的，提供法定代表人授权委托书原件、法定代表人和授权代表身份证明复印件。</w:t>
      </w:r>
    </w:p>
    <w:p>
      <w:pPr>
        <w:widowControl/>
        <w:shd w:val="clear" w:color="auto" w:fill="FFFFFF"/>
        <w:spacing w:line="375" w:lineRule="atLeast"/>
        <w:jc w:val="left"/>
        <w:rPr>
          <w:rFonts w:ascii="仿宋" w:hAnsi="仿宋" w:eastAsia="仿宋" w:cs="仿宋"/>
          <w:b/>
          <w:bCs/>
          <w:color w:val="000000"/>
          <w:sz w:val="24"/>
          <w:szCs w:val="24"/>
        </w:rPr>
      </w:pPr>
      <w:r>
        <w:rPr>
          <w:rFonts w:hint="eastAsia" w:ascii="仿宋" w:hAnsi="仿宋" w:eastAsia="仿宋" w:cs="仿宋"/>
          <w:color w:val="222222"/>
          <w:kern w:val="0"/>
          <w:sz w:val="24"/>
          <w:szCs w:val="24"/>
        </w:rPr>
        <w:t>（4）</w:t>
      </w:r>
      <w:r>
        <w:rPr>
          <w:rFonts w:hint="eastAsia" w:ascii="仿宋" w:hAnsi="仿宋" w:eastAsia="仿宋" w:cs="仿宋"/>
          <w:color w:val="000000"/>
          <w:sz w:val="24"/>
          <w:szCs w:val="24"/>
        </w:rPr>
        <w:t>投标人提供竞标产品技术参数包括但不限于下列内容：①投标产品的品牌、型号、配置；</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EQ \o\ac(</w:instrText>
      </w:r>
      <w:r>
        <w:rPr>
          <w:rFonts w:hint="eastAsia" w:ascii="仿宋" w:hAnsi="仿宋" w:eastAsia="仿宋" w:cs="仿宋"/>
          <w:color w:val="000000"/>
          <w:position w:val="-4"/>
          <w:sz w:val="36"/>
          <w:szCs w:val="24"/>
        </w:rPr>
        <w:instrText xml:space="preserve">○</w:instrText>
      </w:r>
      <w:r>
        <w:rPr>
          <w:rFonts w:hint="eastAsia" w:ascii="仿宋" w:hAnsi="仿宋" w:eastAsia="仿宋" w:cs="仿宋"/>
          <w:color w:val="000000"/>
          <w:sz w:val="24"/>
          <w:szCs w:val="24"/>
        </w:rPr>
        <w:instrText xml:space="preserve">,2)</w:instrTex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投标产品本身的详细的技术指标和参数；</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EQ \o\ac(</w:instrText>
      </w:r>
      <w:r>
        <w:rPr>
          <w:rFonts w:hint="eastAsia" w:ascii="仿宋" w:hAnsi="仿宋" w:eastAsia="仿宋" w:cs="仿宋"/>
          <w:color w:val="000000"/>
          <w:position w:val="-4"/>
          <w:sz w:val="36"/>
          <w:szCs w:val="24"/>
        </w:rPr>
        <w:instrText xml:space="preserve">○</w:instrText>
      </w:r>
      <w:r>
        <w:rPr>
          <w:rFonts w:hint="eastAsia" w:ascii="仿宋" w:hAnsi="仿宋" w:eastAsia="仿宋" w:cs="仿宋"/>
          <w:color w:val="000000"/>
          <w:sz w:val="24"/>
          <w:szCs w:val="24"/>
        </w:rPr>
        <w:instrText xml:space="preserve">,3)</w:instrTex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技术参数差异偏离情况等（如实填写</w:t>
      </w:r>
      <w:r>
        <w:rPr>
          <w:rFonts w:hint="eastAsia" w:ascii="仿宋" w:hAnsi="仿宋" w:eastAsia="仿宋" w:cs="仿宋"/>
          <w:b/>
          <w:sz w:val="24"/>
          <w:szCs w:val="24"/>
        </w:rPr>
        <w:t>投标产品技术要求响应表</w:t>
      </w:r>
      <w:r>
        <w:rPr>
          <w:rFonts w:hint="eastAsia" w:ascii="仿宋" w:hAnsi="仿宋" w:eastAsia="仿宋" w:cs="仿宋"/>
          <w:color w:val="000000"/>
          <w:sz w:val="24"/>
          <w:szCs w:val="24"/>
        </w:rPr>
        <w:t>）等</w:t>
      </w:r>
      <w:r>
        <w:rPr>
          <w:rFonts w:hint="eastAsia" w:ascii="仿宋" w:hAnsi="仿宋" w:eastAsia="仿宋" w:cs="仿宋"/>
          <w:b/>
          <w:bCs/>
          <w:color w:val="000000"/>
          <w:sz w:val="24"/>
          <w:szCs w:val="24"/>
        </w:rPr>
        <w:t>。</w:t>
      </w:r>
    </w:p>
    <w:p>
      <w:pPr>
        <w:pStyle w:val="6"/>
        <w:rPr>
          <w:rFonts w:ascii="仿宋" w:hAnsi="仿宋" w:eastAsia="仿宋" w:cs="仿宋"/>
          <w:color w:val="222222"/>
          <w:kern w:val="0"/>
          <w:szCs w:val="24"/>
        </w:rPr>
      </w:pPr>
      <w:r>
        <w:rPr>
          <w:rFonts w:hint="eastAsia" w:ascii="仿宋" w:hAnsi="仿宋" w:eastAsia="仿宋" w:cs="仿宋"/>
          <w:color w:val="222222"/>
          <w:kern w:val="0"/>
          <w:szCs w:val="24"/>
        </w:rPr>
        <w:t>（5）</w:t>
      </w:r>
      <w:r>
        <w:rPr>
          <w:rFonts w:hint="eastAsia" w:ascii="仿宋" w:hAnsi="仿宋" w:eastAsia="仿宋" w:cs="仿宋"/>
          <w:color w:val="000000"/>
          <w:szCs w:val="24"/>
        </w:rPr>
        <w:t>涉及需授权的产品，须提供产品全套授权、资质及相关资料</w:t>
      </w:r>
      <w:r>
        <w:rPr>
          <w:rFonts w:hint="eastAsia" w:ascii="仿宋" w:hAnsi="仿宋" w:eastAsia="仿宋" w:cs="仿宋"/>
          <w:color w:val="222222"/>
          <w:kern w:val="0"/>
          <w:szCs w:val="24"/>
        </w:rPr>
        <w:t>。</w:t>
      </w:r>
    </w:p>
    <w:p>
      <w:pPr>
        <w:spacing w:line="480" w:lineRule="exact"/>
        <w:rPr>
          <w:rFonts w:ascii="仿宋" w:hAnsi="仿宋" w:eastAsia="仿宋" w:cs="仿宋"/>
          <w:color w:val="000000"/>
          <w:spacing w:val="8"/>
          <w:sz w:val="24"/>
          <w:szCs w:val="24"/>
        </w:rPr>
      </w:pPr>
      <w:r>
        <w:rPr>
          <w:rFonts w:hint="eastAsia" w:ascii="仿宋" w:hAnsi="仿宋" w:eastAsia="仿宋" w:cs="仿宋"/>
          <w:color w:val="000000"/>
          <w:sz w:val="24"/>
          <w:szCs w:val="24"/>
        </w:rPr>
        <w:t>（6）投标</w:t>
      </w:r>
      <w:r>
        <w:rPr>
          <w:rFonts w:hint="eastAsia" w:ascii="仿宋" w:hAnsi="仿宋" w:eastAsia="仿宋" w:cs="仿宋"/>
          <w:color w:val="000000"/>
          <w:spacing w:val="8"/>
          <w:sz w:val="24"/>
          <w:szCs w:val="24"/>
        </w:rPr>
        <w:t>产品彩页资料、中文使用说明书、用户手册、产品合格证明文件等；</w:t>
      </w:r>
    </w:p>
    <w:p>
      <w:pPr>
        <w:pStyle w:val="6"/>
        <w:rPr>
          <w:rFonts w:ascii="仿宋" w:hAnsi="仿宋" w:eastAsia="仿宋" w:cs="仿宋"/>
          <w:color w:val="000000"/>
          <w:spacing w:val="8"/>
          <w:szCs w:val="24"/>
        </w:rPr>
      </w:pPr>
      <w:r>
        <w:rPr>
          <w:rFonts w:hint="eastAsia" w:ascii="仿宋" w:hAnsi="仿宋" w:eastAsia="仿宋" w:cs="仿宋"/>
          <w:color w:val="000000"/>
          <w:szCs w:val="24"/>
        </w:rPr>
        <w:t>（7）</w:t>
      </w:r>
      <w:r>
        <w:rPr>
          <w:rFonts w:hint="eastAsia" w:ascii="仿宋" w:hAnsi="仿宋" w:eastAsia="仿宋" w:cs="仿宋"/>
          <w:color w:val="000000"/>
          <w:spacing w:val="8"/>
          <w:szCs w:val="24"/>
        </w:rPr>
        <w:t>公司情况介绍；</w:t>
      </w:r>
    </w:p>
    <w:p>
      <w:pPr>
        <w:pStyle w:val="6"/>
        <w:rPr>
          <w:rFonts w:ascii="仿宋" w:hAnsi="仿宋" w:eastAsia="仿宋" w:cs="仿宋"/>
          <w:szCs w:val="24"/>
        </w:rPr>
      </w:pPr>
      <w:r>
        <w:rPr>
          <w:rFonts w:hint="eastAsia" w:ascii="仿宋" w:hAnsi="仿宋" w:eastAsia="仿宋" w:cs="仿宋"/>
          <w:szCs w:val="24"/>
        </w:rPr>
        <w:t>（8）商务应答</w:t>
      </w:r>
      <w:r>
        <w:rPr>
          <w:rFonts w:hint="eastAsia" w:ascii="仿宋" w:hAnsi="仿宋" w:eastAsia="仿宋" w:cs="仿宋"/>
          <w:color w:val="000000"/>
          <w:spacing w:val="8"/>
          <w:szCs w:val="24"/>
        </w:rPr>
        <w:t>；</w:t>
      </w:r>
    </w:p>
    <w:p>
      <w:pPr>
        <w:pStyle w:val="6"/>
        <w:spacing w:line="360" w:lineRule="atLeast"/>
        <w:rPr>
          <w:rFonts w:ascii="仿宋" w:hAnsi="仿宋" w:eastAsia="仿宋" w:cs="仿宋"/>
          <w:color w:val="000000"/>
          <w:spacing w:val="8"/>
          <w:szCs w:val="24"/>
        </w:rPr>
      </w:pPr>
      <w:r>
        <w:rPr>
          <w:rFonts w:hint="eastAsia" w:ascii="仿宋" w:hAnsi="仿宋" w:eastAsia="仿宋" w:cs="仿宋"/>
          <w:szCs w:val="24"/>
        </w:rPr>
        <w:t>(9)</w:t>
      </w:r>
      <w:r>
        <w:rPr>
          <w:rFonts w:hint="eastAsia" w:ascii="仿宋" w:hAnsi="仿宋" w:eastAsia="仿宋" w:cs="仿宋"/>
          <w:color w:val="000000"/>
          <w:szCs w:val="24"/>
        </w:rPr>
        <w:t>售后服务承诺</w:t>
      </w:r>
      <w:r>
        <w:rPr>
          <w:rFonts w:hint="eastAsia" w:ascii="仿宋" w:hAnsi="仿宋" w:eastAsia="仿宋" w:cs="仿宋"/>
          <w:color w:val="000000"/>
          <w:spacing w:val="8"/>
          <w:szCs w:val="24"/>
        </w:rPr>
        <w:t>；</w:t>
      </w:r>
    </w:p>
    <w:p>
      <w:pPr>
        <w:spacing w:line="360" w:lineRule="atLeast"/>
        <w:rPr>
          <w:rFonts w:ascii="仿宋" w:hAnsi="仿宋" w:eastAsia="仿宋" w:cs="仿宋"/>
          <w:color w:val="000000"/>
          <w:spacing w:val="8"/>
          <w:sz w:val="24"/>
          <w:szCs w:val="24"/>
        </w:rPr>
      </w:pPr>
      <w:r>
        <w:rPr>
          <w:rFonts w:hint="eastAsia" w:ascii="仿宋" w:hAnsi="仿宋" w:eastAsia="仿宋" w:cs="仿宋"/>
          <w:color w:val="000000"/>
          <w:sz w:val="24"/>
          <w:szCs w:val="24"/>
        </w:rPr>
        <w:t>(10)</w:t>
      </w:r>
      <w:r>
        <w:rPr>
          <w:rFonts w:hint="eastAsia" w:ascii="仿宋" w:hAnsi="仿宋" w:eastAsia="仿宋" w:cs="仿宋"/>
          <w:color w:val="000000"/>
          <w:spacing w:val="8"/>
          <w:sz w:val="24"/>
          <w:szCs w:val="24"/>
        </w:rPr>
        <w:t>其他需要提供的技术文件和资料；</w:t>
      </w:r>
    </w:p>
    <w:p>
      <w:pPr>
        <w:pStyle w:val="6"/>
        <w:spacing w:line="360" w:lineRule="atLeast"/>
        <w:ind w:firstLine="723" w:firstLineChars="300"/>
        <w:rPr>
          <w:rFonts w:ascii="仿宋" w:hAnsi="仿宋" w:eastAsia="仿宋" w:cs="仿宋"/>
          <w:b/>
          <w:sz w:val="24"/>
          <w:szCs w:val="24"/>
        </w:rPr>
      </w:pPr>
      <w:r>
        <w:rPr>
          <w:rFonts w:hint="eastAsia" w:ascii="仿宋" w:hAnsi="仿宋" w:eastAsia="仿宋" w:cs="仿宋"/>
          <w:bCs/>
          <w:color w:val="222222"/>
          <w:kern w:val="0"/>
          <w:szCs w:val="24"/>
        </w:rPr>
        <w:t>响应文件提供正本一份，副本三份，密封，加盖公司鲜章。</w:t>
      </w:r>
      <w:r>
        <w:rPr>
          <w:rStyle w:val="24"/>
          <w:rFonts w:hint="eastAsia" w:ascii="仿宋" w:hAnsi="仿宋" w:eastAsia="仿宋" w:cs="仿宋"/>
          <w:b/>
          <w:color w:val="222222"/>
          <w:szCs w:val="24"/>
        </w:rPr>
        <w:t>所有资料及复印件清晰可辩，若资模糊不可分辨，视为未提供该页资料。</w:t>
      </w:r>
    </w:p>
    <w:p>
      <w:pPr>
        <w:ind w:firstLine="1446" w:firstLineChars="600"/>
        <w:rPr>
          <w:rFonts w:ascii="仿宋" w:hAnsi="仿宋" w:eastAsia="仿宋" w:cs="仿宋"/>
          <w:b/>
          <w:sz w:val="24"/>
          <w:szCs w:val="24"/>
        </w:rPr>
      </w:pPr>
    </w:p>
    <w:p>
      <w:pPr>
        <w:ind w:firstLine="2409" w:firstLineChars="1000"/>
        <w:rPr>
          <w:rFonts w:ascii="仿宋" w:hAnsi="仿宋" w:eastAsia="仿宋" w:cs="仿宋"/>
          <w:b/>
          <w:sz w:val="24"/>
          <w:szCs w:val="24"/>
        </w:rPr>
      </w:pPr>
      <w:r>
        <w:rPr>
          <w:rFonts w:hint="eastAsia" w:ascii="仿宋" w:hAnsi="仿宋" w:eastAsia="仿宋" w:cs="仿宋"/>
          <w:b/>
          <w:sz w:val="24"/>
          <w:szCs w:val="24"/>
        </w:rPr>
        <w:t>第一部分  采购项目服务要求及其他要求</w:t>
      </w:r>
    </w:p>
    <w:p>
      <w:pPr>
        <w:spacing w:line="480" w:lineRule="exact"/>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一、</w:t>
      </w:r>
      <w:r>
        <w:rPr>
          <w:rFonts w:hint="eastAsia" w:ascii="仿宋" w:hAnsi="仿宋" w:eastAsia="仿宋" w:cs="仿宋"/>
          <w:b/>
          <w:color w:val="auto"/>
          <w:sz w:val="24"/>
          <w:szCs w:val="24"/>
        </w:rPr>
        <w:t>电梯维保项目（内容）和要求：</w:t>
      </w:r>
    </w:p>
    <w:p>
      <w:pPr>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1.电梯在正常使用中发生故障时，乙方应接到电话通知后半小时内派员到达现场进行处理。应急维修或关人在接到电话通知10分钟内必须到达现场处理。否则每次至少罚款200元，并由维保方承担相应责任。</w:t>
      </w:r>
    </w:p>
    <w:p>
      <w:pPr>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2.维保必须符合</w:t>
      </w:r>
      <w:r>
        <w:rPr>
          <w:rFonts w:hint="eastAsia" w:ascii="仿宋" w:hAnsi="仿宋" w:eastAsia="仿宋" w:cs="仿宋"/>
          <w:color w:val="auto"/>
          <w:sz w:val="24"/>
          <w:szCs w:val="24"/>
          <w:lang w:eastAsia="zh-CN"/>
        </w:rPr>
        <w:t>现行</w:t>
      </w:r>
      <w:r>
        <w:rPr>
          <w:rFonts w:hint="eastAsia" w:ascii="仿宋" w:hAnsi="仿宋" w:eastAsia="仿宋" w:cs="仿宋"/>
          <w:color w:val="auto"/>
          <w:sz w:val="24"/>
          <w:szCs w:val="24"/>
        </w:rPr>
        <w:t>：中华人民共和国特种设备安全法，电梯监督检验和定期检验规则，电梯使用与保养规则等国家相关法律、法规、标准等。如果在维保期以内，国家出台新的维保政策、规则、标准，电梯维保单位维保项目必须做出相应调整，与</w:t>
      </w:r>
      <w:r>
        <w:rPr>
          <w:rFonts w:hint="eastAsia" w:ascii="仿宋" w:hAnsi="仿宋" w:eastAsia="仿宋" w:cs="仿宋"/>
          <w:color w:val="auto"/>
          <w:sz w:val="24"/>
          <w:szCs w:val="24"/>
          <w:lang w:eastAsia="zh-CN"/>
        </w:rPr>
        <w:t>现行</w:t>
      </w:r>
      <w:r>
        <w:rPr>
          <w:rFonts w:hint="eastAsia" w:ascii="仿宋" w:hAnsi="仿宋" w:eastAsia="仿宋" w:cs="仿宋"/>
          <w:color w:val="auto"/>
          <w:sz w:val="24"/>
          <w:szCs w:val="24"/>
        </w:rPr>
        <w:t>要求一致。如果由于国家政策原因新增维保项目或者市场监管等相关部门临时要求整治、整改项目，维保方不得另外加收人工、技术、工具费用，该费用已经包含在维保费用中，维保方按照要求实施即可。若涉及更换零配件，价格按照合同执行；如果需要使用砝码等大型设备、器具，维保方只能收取成本费。</w:t>
      </w:r>
    </w:p>
    <w:p>
      <w:pPr>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3.中标的维保单位不得将维保业务转包、分包。否则双方签订的合同无效。</w:t>
      </w:r>
    </w:p>
    <w:p>
      <w:pPr>
        <w:widowControl/>
        <w:spacing w:line="360" w:lineRule="auto"/>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4.具体维保项目、要求：（至少包含但不仅限于以下项目、要求）：</w:t>
      </w:r>
    </w:p>
    <w:p>
      <w:pPr>
        <w:widowControl/>
        <w:spacing w:line="360" w:lineRule="auto"/>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4.1.半月维保项目（内容）和要求</w:t>
      </w:r>
      <w:r>
        <w:rPr>
          <w:rFonts w:hint="eastAsia" w:ascii="仿宋" w:hAnsi="仿宋" w:eastAsia="仿宋" w:cs="仿宋"/>
          <w:color w:val="auto"/>
          <w:kern w:val="0"/>
          <w:sz w:val="24"/>
          <w:szCs w:val="24"/>
        </w:rPr>
        <w:t>（表A1）：</w:t>
      </w:r>
    </w:p>
    <w:tbl>
      <w:tblPr>
        <w:tblStyle w:val="21"/>
        <w:tblW w:w="8196" w:type="dxa"/>
        <w:tblInd w:w="1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5"/>
        <w:gridCol w:w="3240"/>
        <w:gridCol w:w="41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维保项目（内容）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机房、滑轮间环境</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清洁，门窗完好、照明正常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手动紧急操作装置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齐全，在指定位置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驱动主机</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运行时无异常振动和异常声响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制动器各销轴部位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润滑，动作灵活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制动器间隙</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打开时制动衬与制动轮不应发生摩擦，间隙值符合制造单位要求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制动器作为轿厢意外移动保护装置制停子系统时的自监测</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制动力人工方式检测符合使用维护说明书要求；制动力自监测系统有记录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编码器</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清洁，安装牢固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限速器各销轴部位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润滑，转动灵活；电气开关正常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层门和轿门旁路装置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紧急电动运行</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清洁，防护栏安全可靠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轿顶检修开关、急停开关</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导靴上油杯</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吸油毛毡齐全，油量适宜，油杯无泄漏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对重/平衡重块及其压板</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对重/平衡重块无松动，压板紧固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井道照明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齐全、正常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轿厢照明、风扇、应急照明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轿厢检修开关、停止装置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轿内报警装置、对讲系统</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轿内显示、指令按钮、IC卡系统</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轿内防撞击保护装置（安全触板，光幕、光电等）</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轿门门锁电气触点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清洁，触电接触良好，接线可靠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轿门运行</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开启和关闭工作正常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轿厢平层准确度</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符合标准值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层站召唤、层楼显示</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层门地坎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层门自动关门装置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层门门锁自动复位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用层门钥匙打开手动开锁装置释放后，层门门锁能自动复位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层门门锁电气触点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清洁，触点接触良好，接线可靠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层门锁紧元件啮合长度</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不小于7㎜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底坑环境</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清洁，无渗水、积水，照明正常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底坑停止装置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bl>
    <w:p>
      <w:pPr>
        <w:widowControl/>
        <w:spacing w:line="360" w:lineRule="auto"/>
        <w:jc w:val="left"/>
        <w:rPr>
          <w:rFonts w:hint="eastAsia" w:ascii="仿宋" w:hAnsi="仿宋" w:eastAsia="仿宋" w:cs="仿宋"/>
          <w:b/>
          <w:bCs/>
          <w:color w:val="auto"/>
          <w:kern w:val="0"/>
          <w:sz w:val="24"/>
          <w:szCs w:val="24"/>
        </w:rPr>
      </w:pPr>
    </w:p>
    <w:p>
      <w:pPr>
        <w:widowControl/>
        <w:spacing w:line="360" w:lineRule="auto"/>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4.2.季度维保项目（内容）和要求</w:t>
      </w:r>
      <w:r>
        <w:rPr>
          <w:rFonts w:hint="eastAsia" w:ascii="仿宋" w:hAnsi="仿宋" w:eastAsia="仿宋" w:cs="仿宋"/>
          <w:color w:val="auto"/>
          <w:kern w:val="0"/>
          <w:sz w:val="24"/>
          <w:szCs w:val="24"/>
        </w:rPr>
        <w:t>（表A2）：</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季度维保项目（内容）和要求除应符合A1的要求外，还应当符合表A2的要求：</w:t>
      </w:r>
    </w:p>
    <w:tbl>
      <w:tblPr>
        <w:tblStyle w:val="21"/>
        <w:tblW w:w="0" w:type="auto"/>
        <w:tblInd w:w="1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5"/>
        <w:gridCol w:w="3142"/>
        <w:gridCol w:w="42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维保项目（内容）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减速机润滑油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油量适宜，除蜗杆伸出端外均无渗油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制动衬</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编码器 </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选层器动静触点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清洁，无烧蚀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曳引轮槽、悬挂装置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清洁，钢丝绳无严重油腻，张力均匀，符合制造单位要求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限速器轮槽、限速器钢丝绳</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清洁，无严重油腻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靴衬、滚轮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验证轿门关闭的电气安全装置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层门、轿门系统中转动钢丝绳、链条、胶带</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按制造单位要求进行清洁、调整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层门门导靴</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消防开关</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耗能缓冲器</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电气安全装置功能有效，油量适宜，柱塞无锈蚀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限速器张紧轮装置和电气安全装置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bl>
    <w:p>
      <w:pPr>
        <w:widowControl/>
        <w:jc w:val="left"/>
        <w:rPr>
          <w:rFonts w:hint="eastAsia" w:ascii="仿宋" w:hAnsi="仿宋" w:eastAsia="仿宋" w:cs="仿宋"/>
          <w:b/>
          <w:bCs/>
          <w:color w:val="auto"/>
          <w:kern w:val="0"/>
          <w:sz w:val="24"/>
          <w:szCs w:val="24"/>
        </w:rPr>
      </w:pPr>
    </w:p>
    <w:p>
      <w:pPr>
        <w:widowControl/>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4.3.半年维保项目（内容）和要求</w:t>
      </w:r>
      <w:r>
        <w:rPr>
          <w:rFonts w:hint="eastAsia" w:ascii="仿宋" w:hAnsi="仿宋" w:eastAsia="仿宋" w:cs="仿宋"/>
          <w:color w:val="auto"/>
          <w:kern w:val="0"/>
          <w:sz w:val="24"/>
          <w:szCs w:val="24"/>
        </w:rPr>
        <w:t>（表A3）：</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半年维保项目（内容）和要求除应符合A2的要求外，还应当符合表A3的要求:</w:t>
      </w:r>
    </w:p>
    <w:tbl>
      <w:tblPr>
        <w:tblStyle w:val="21"/>
        <w:tblW w:w="0" w:type="auto"/>
        <w:tblInd w:w="130" w:type="dxa"/>
        <w:tblLayout w:type="autofit"/>
        <w:tblCellMar>
          <w:top w:w="0" w:type="dxa"/>
          <w:left w:w="0" w:type="dxa"/>
          <w:bottom w:w="0" w:type="dxa"/>
          <w:right w:w="0" w:type="dxa"/>
        </w:tblCellMar>
      </w:tblPr>
      <w:tblGrid>
        <w:gridCol w:w="555"/>
        <w:gridCol w:w="3462"/>
        <w:gridCol w:w="4171"/>
      </w:tblGrid>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维保项目（内容）</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维保基本要求</w:t>
            </w:r>
          </w:p>
        </w:tc>
      </w:tr>
      <w:tr>
        <w:tblPrEx>
          <w:tblCellMar>
            <w:top w:w="0" w:type="dxa"/>
            <w:left w:w="0" w:type="dxa"/>
            <w:bottom w:w="0" w:type="dxa"/>
            <w:right w:w="0" w:type="dxa"/>
          </w:tblCellMar>
        </w:tblPrEx>
        <w:trPr>
          <w:trHeight w:val="380" w:hRule="atLeast"/>
        </w:trPr>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电动机与减速器联轴器</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连接无松动，弹性元件外观良好，无老化等现象</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驱动轮、导向轮轴承部分</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无异常声，无振动，润滑良好</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曳引轮槽</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磨损量不超过制造单位要求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制动器动作状态监测装置</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正常工作，制动器动作可靠</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制动器上检测开关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工作正常，制动器动作可靠</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控制柜内各接线端子</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各接线紧固、整齐，线号齐全清晰</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控制柜各仪表</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显示正常</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井道、对重、轿顶各反绳轮轴承部分</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无异常声，无振动，润滑良好</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悬挂装置、补偿绳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磨损量，断丝数不超过要求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绳头组合</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螺母无松动</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限速器钢丝绳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磨损量，断丝数不超过制造单位要求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层门、轿门门扇</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门扇各相关间隙符合标准值</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轿门开门限制装置</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CellMar>
            <w:top w:w="0" w:type="dxa"/>
            <w:left w:w="0" w:type="dxa"/>
            <w:bottom w:w="0" w:type="dxa"/>
            <w:right w:w="0" w:type="dxa"/>
          </w:tblCellMar>
        </w:tblPrEx>
        <w:tc>
          <w:tcPr>
            <w:tcW w:w="555" w:type="dxa"/>
            <w:tcBorders>
              <w:top w:val="single" w:color="auto" w:sz="4" w:space="0"/>
              <w:left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3462" w:type="dxa"/>
            <w:tcBorders>
              <w:top w:val="single" w:color="auto" w:sz="4" w:space="0"/>
              <w:left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对重缓冲距离</w:t>
            </w:r>
          </w:p>
        </w:tc>
        <w:tc>
          <w:tcPr>
            <w:tcW w:w="4171" w:type="dxa"/>
            <w:tcBorders>
              <w:top w:val="single" w:color="auto" w:sz="4" w:space="0"/>
              <w:lef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符合标准值</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补偿链（绳）与轿厢、对重接合处</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固定、无松动</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上、下极限开关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bl>
    <w:p>
      <w:pPr>
        <w:widowControl/>
        <w:jc w:val="left"/>
        <w:rPr>
          <w:rFonts w:hint="eastAsia" w:ascii="仿宋" w:hAnsi="仿宋" w:eastAsia="仿宋" w:cs="仿宋"/>
          <w:b/>
          <w:bCs/>
          <w:color w:val="auto"/>
          <w:kern w:val="0"/>
          <w:sz w:val="24"/>
          <w:szCs w:val="24"/>
        </w:rPr>
      </w:pPr>
    </w:p>
    <w:p>
      <w:pPr>
        <w:widowControl/>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4.4.年度维保项目（内容）和要求</w:t>
      </w:r>
      <w:r>
        <w:rPr>
          <w:rFonts w:hint="eastAsia" w:ascii="仿宋" w:hAnsi="仿宋" w:eastAsia="仿宋" w:cs="仿宋"/>
          <w:color w:val="auto"/>
          <w:kern w:val="0"/>
          <w:sz w:val="24"/>
          <w:szCs w:val="24"/>
        </w:rPr>
        <w:t>（表A4）：</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年度维保项目（内容）和要求除应符合A3的要求外，还应当符合表A4的要求:</w:t>
      </w:r>
    </w:p>
    <w:tbl>
      <w:tblPr>
        <w:tblStyle w:val="21"/>
        <w:tblW w:w="848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75"/>
        <w:gridCol w:w="3496"/>
        <w:gridCol w:w="44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trPr>
        <w:tc>
          <w:tcPr>
            <w:tcW w:w="5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维保项目（内容）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减速机润滑油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按照制造单位要求适时更换，保证油质符合要求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控制柜接触器，断电器触点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接触良好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制动器铁芯（柱塞）</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进行清洁、润滑、检查，磨损量不超过制造单位要求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制动器制动能力</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符合制造单位要求，保持有足够的制动力，必须按时进行轿厢装载125%额定载重量的制动试验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导电回路绝缘性能测试</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限速器安全钳联动试验（对于使用年限不超过15年的限速器，每2年进行一次限速器动作速度校验；对于使用年限超过15年的限速器，每年进行一次限速器动作速度校验）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上行超速保护装置动作试验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轿厢意外移动保护装置动作试验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轿顶、轿厢架、轿门及其附件安装螺栓</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轿厢和对重/平衡重的导轨支架</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轿厢和对重/平衡重的导轨</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清洁，压板牢固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随行电缆</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无损伤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层门装置和地坎</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无影响正常使用的变形，各安装螺栓紧固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轿厢称重装置</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准确有效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安全钳钳座</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轿底各安装螺栓</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缓冲器</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固定，无松动</w:t>
            </w:r>
          </w:p>
        </w:tc>
      </w:tr>
    </w:tbl>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spacing w:line="360" w:lineRule="auto"/>
        <w:ind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注 </w:t>
      </w:r>
      <w:r>
        <w:rPr>
          <w:rFonts w:hint="eastAsia" w:ascii="仿宋" w:hAnsi="仿宋" w:eastAsia="仿宋" w:cs="仿宋"/>
          <w:color w:val="auto"/>
          <w:kern w:val="0"/>
          <w:sz w:val="24"/>
          <w:szCs w:val="24"/>
          <w:lang w:eastAsia="zh-CN"/>
        </w:rPr>
        <w:t>表</w:t>
      </w:r>
      <w:r>
        <w:rPr>
          <w:rFonts w:hint="eastAsia" w:ascii="仿宋" w:hAnsi="仿宋" w:eastAsia="仿宋" w:cs="仿宋"/>
          <w:color w:val="auto"/>
          <w:kern w:val="0"/>
          <w:sz w:val="24"/>
          <w:szCs w:val="24"/>
        </w:rPr>
        <w:t>A1：如果某些电梯没有表中的项目(内容)，如有的电梯不含有某种部件，项目(内容)可适当进行调整(下同)。</w:t>
      </w:r>
    </w:p>
    <w:p>
      <w:pPr>
        <w:widowControl/>
        <w:spacing w:line="360" w:lineRule="auto"/>
        <w:ind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注 </w:t>
      </w:r>
      <w:r>
        <w:rPr>
          <w:rFonts w:hint="eastAsia" w:ascii="仿宋" w:hAnsi="仿宋" w:eastAsia="仿宋" w:cs="仿宋"/>
          <w:color w:val="auto"/>
          <w:kern w:val="0"/>
          <w:sz w:val="24"/>
          <w:szCs w:val="24"/>
          <w:lang w:eastAsia="zh-CN"/>
        </w:rPr>
        <w:t>表</w:t>
      </w:r>
      <w:r>
        <w:rPr>
          <w:rFonts w:hint="eastAsia" w:ascii="仿宋" w:hAnsi="仿宋" w:eastAsia="仿宋" w:cs="仿宋"/>
          <w:color w:val="auto"/>
          <w:kern w:val="0"/>
          <w:sz w:val="24"/>
          <w:szCs w:val="24"/>
        </w:rPr>
        <w:t>A2：维护保养项目(内容)和要求中对测试、试验有明确规定的，应当按照规定进行测试、试验，没有明确规定的，一般为检查、调整、清洁和润滑(下同)。</w:t>
      </w:r>
    </w:p>
    <w:p>
      <w:pPr>
        <w:widowControl/>
        <w:spacing w:line="360" w:lineRule="auto"/>
        <w:ind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注 </w:t>
      </w:r>
      <w:r>
        <w:rPr>
          <w:rFonts w:hint="eastAsia" w:ascii="仿宋" w:hAnsi="仿宋" w:eastAsia="仿宋" w:cs="仿宋"/>
          <w:color w:val="auto"/>
          <w:kern w:val="0"/>
          <w:sz w:val="24"/>
          <w:szCs w:val="24"/>
          <w:lang w:eastAsia="zh-CN"/>
        </w:rPr>
        <w:t>表</w:t>
      </w:r>
      <w:r>
        <w:rPr>
          <w:rFonts w:hint="eastAsia" w:ascii="仿宋" w:hAnsi="仿宋" w:eastAsia="仿宋" w:cs="仿宋"/>
          <w:color w:val="auto"/>
          <w:kern w:val="0"/>
          <w:sz w:val="24"/>
          <w:szCs w:val="24"/>
        </w:rPr>
        <w:t>A3：维护保养基本要求中，规定为“符合标准值”的，是指符合对应的国家标准、行业标准和制造单位要求(下同)。</w:t>
      </w:r>
    </w:p>
    <w:p>
      <w:pPr>
        <w:widowControl/>
        <w:spacing w:line="360" w:lineRule="auto"/>
        <w:ind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注 </w:t>
      </w:r>
      <w:r>
        <w:rPr>
          <w:rFonts w:hint="eastAsia" w:ascii="仿宋" w:hAnsi="仿宋" w:eastAsia="仿宋" w:cs="仿宋"/>
          <w:color w:val="auto"/>
          <w:kern w:val="0"/>
          <w:sz w:val="24"/>
          <w:szCs w:val="24"/>
          <w:lang w:eastAsia="zh-CN"/>
        </w:rPr>
        <w:t>表</w:t>
      </w:r>
      <w:r>
        <w:rPr>
          <w:rFonts w:hint="eastAsia" w:ascii="仿宋" w:hAnsi="仿宋" w:eastAsia="仿宋" w:cs="仿宋"/>
          <w:color w:val="auto"/>
          <w:kern w:val="0"/>
          <w:sz w:val="24"/>
          <w:szCs w:val="24"/>
        </w:rPr>
        <w:t>A4：维护保养基本要求中，规定为“制造单位要求”的，按照制造单位的要求，其他没有明确“要求”的，应当为安全技术规范、标准或者制造单位等的要求(下同)。</w:t>
      </w:r>
    </w:p>
    <w:p>
      <w:pPr>
        <w:autoSpaceDE w:val="0"/>
        <w:autoSpaceDN w:val="0"/>
        <w:adjustRightInd w:val="0"/>
        <w:spacing w:line="540" w:lineRule="exact"/>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lang w:eastAsia="zh-CN"/>
        </w:rPr>
        <w:t>二、</w:t>
      </w:r>
      <w:r>
        <w:rPr>
          <w:rFonts w:hint="eastAsia" w:ascii="仿宋" w:hAnsi="仿宋" w:eastAsia="仿宋" w:cs="仿宋"/>
          <w:b/>
          <w:bCs/>
          <w:color w:val="auto"/>
          <w:kern w:val="0"/>
          <w:sz w:val="24"/>
          <w:szCs w:val="24"/>
        </w:rPr>
        <w:t>考核</w:t>
      </w:r>
      <w:r>
        <w:rPr>
          <w:rFonts w:hint="eastAsia" w:ascii="仿宋" w:hAnsi="仿宋" w:eastAsia="仿宋" w:cs="仿宋"/>
          <w:b/>
          <w:bCs/>
          <w:color w:val="auto"/>
          <w:kern w:val="0"/>
          <w:sz w:val="24"/>
          <w:szCs w:val="24"/>
          <w:lang w:eastAsia="zh-CN"/>
        </w:rPr>
        <w:t>要求</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甲方按照上面表</w:t>
      </w:r>
      <w:r>
        <w:rPr>
          <w:rFonts w:hint="eastAsia" w:ascii="仿宋" w:hAnsi="仿宋" w:eastAsia="仿宋" w:cs="仿宋"/>
          <w:color w:val="auto"/>
          <w:kern w:val="0"/>
          <w:sz w:val="24"/>
          <w:szCs w:val="24"/>
          <w:lang w:val="en-US" w:eastAsia="zh-CN"/>
        </w:rPr>
        <w:t>A1、A2、A3、A4的内容、时间要求，每半月、每季度、每半年、每年检查、考核中标方的工作完成情况，如有其中一项不符合要求，扣2分，</w:t>
      </w:r>
      <w:r>
        <w:rPr>
          <w:rFonts w:hint="eastAsia" w:ascii="仿宋" w:hAnsi="仿宋" w:eastAsia="仿宋" w:cs="仿宋"/>
          <w:color w:val="auto"/>
          <w:kern w:val="0"/>
          <w:sz w:val="24"/>
          <w:szCs w:val="24"/>
        </w:rPr>
        <w:t>在每</w:t>
      </w:r>
      <w:r>
        <w:rPr>
          <w:rFonts w:hint="eastAsia" w:ascii="仿宋" w:hAnsi="仿宋" w:eastAsia="仿宋" w:cs="仿宋"/>
          <w:color w:val="auto"/>
          <w:kern w:val="0"/>
          <w:sz w:val="24"/>
          <w:szCs w:val="24"/>
          <w:lang w:eastAsia="zh-CN"/>
        </w:rPr>
        <w:t>一</w:t>
      </w:r>
      <w:r>
        <w:rPr>
          <w:rFonts w:hint="eastAsia" w:ascii="仿宋" w:hAnsi="仿宋" w:eastAsia="仿宋" w:cs="仿宋"/>
          <w:color w:val="auto"/>
          <w:kern w:val="0"/>
          <w:sz w:val="24"/>
          <w:szCs w:val="24"/>
        </w:rPr>
        <w:t>个</w:t>
      </w:r>
      <w:r>
        <w:rPr>
          <w:rFonts w:hint="eastAsia" w:ascii="仿宋" w:hAnsi="仿宋" w:eastAsia="仿宋" w:cs="仿宋"/>
          <w:color w:val="auto"/>
          <w:kern w:val="0"/>
          <w:sz w:val="24"/>
          <w:szCs w:val="24"/>
          <w:lang w:eastAsia="zh-CN"/>
        </w:rPr>
        <w:t>维保年度结束时汇总扣分情况。如果扣分小于或等于</w:t>
      </w:r>
      <w:r>
        <w:rPr>
          <w:rFonts w:hint="eastAsia" w:ascii="仿宋" w:hAnsi="仿宋" w:eastAsia="仿宋" w:cs="仿宋"/>
          <w:color w:val="auto"/>
          <w:kern w:val="0"/>
          <w:sz w:val="24"/>
          <w:szCs w:val="24"/>
          <w:lang w:val="en-US" w:eastAsia="zh-CN"/>
        </w:rPr>
        <w:t>6分，则甲方支付中标方上一个维保年度维保金额的100%。如果扣分在7至10分，则甲方支付中标方的维保金额的95%。如果扣分在11至14分，则甲方支付中标方的维保金额的90%。乙方</w:t>
      </w:r>
      <w:r>
        <w:rPr>
          <w:rFonts w:hint="eastAsia" w:ascii="仿宋" w:hAnsi="仿宋" w:eastAsia="仿宋" w:cs="仿宋"/>
          <w:color w:val="auto"/>
          <w:kern w:val="0"/>
          <w:sz w:val="24"/>
          <w:szCs w:val="24"/>
        </w:rPr>
        <w:t>应及时调整维保服务质量，调整后在采购服务周期内仍不满足采购人</w:t>
      </w:r>
      <w:r>
        <w:rPr>
          <w:rFonts w:hint="eastAsia" w:ascii="仿宋" w:hAnsi="仿宋" w:eastAsia="仿宋" w:cs="仿宋"/>
          <w:color w:val="auto"/>
          <w:kern w:val="0"/>
          <w:sz w:val="24"/>
          <w:szCs w:val="24"/>
          <w:lang w:eastAsia="zh-CN"/>
        </w:rPr>
        <w:t>及相关</w:t>
      </w:r>
      <w:r>
        <w:rPr>
          <w:rFonts w:hint="eastAsia" w:ascii="仿宋" w:hAnsi="仿宋" w:eastAsia="仿宋" w:cs="仿宋"/>
          <w:color w:val="auto"/>
          <w:kern w:val="0"/>
          <w:sz w:val="24"/>
          <w:szCs w:val="24"/>
        </w:rPr>
        <w:t>要求的，采购人有权解除合同，由此给</w:t>
      </w:r>
      <w:r>
        <w:rPr>
          <w:rFonts w:hint="eastAsia" w:ascii="仿宋" w:hAnsi="仿宋" w:eastAsia="仿宋" w:cs="仿宋"/>
          <w:color w:val="auto"/>
          <w:kern w:val="0"/>
          <w:sz w:val="24"/>
          <w:szCs w:val="24"/>
          <w:lang w:eastAsia="zh-CN"/>
        </w:rPr>
        <w:t>甲方</w:t>
      </w:r>
      <w:r>
        <w:rPr>
          <w:rFonts w:hint="eastAsia" w:ascii="仿宋" w:hAnsi="仿宋" w:eastAsia="仿宋" w:cs="仿宋"/>
          <w:color w:val="auto"/>
          <w:kern w:val="0"/>
          <w:sz w:val="24"/>
          <w:szCs w:val="24"/>
        </w:rPr>
        <w:t>造成的损失由</w:t>
      </w:r>
      <w:r>
        <w:rPr>
          <w:rFonts w:hint="eastAsia" w:ascii="仿宋" w:hAnsi="仿宋" w:eastAsia="仿宋" w:cs="仿宋"/>
          <w:color w:val="auto"/>
          <w:kern w:val="0"/>
          <w:sz w:val="24"/>
          <w:szCs w:val="24"/>
          <w:lang w:eastAsia="zh-CN"/>
        </w:rPr>
        <w:t>乙方</w:t>
      </w:r>
      <w:r>
        <w:rPr>
          <w:rFonts w:hint="eastAsia" w:ascii="仿宋" w:hAnsi="仿宋" w:eastAsia="仿宋" w:cs="仿宋"/>
          <w:color w:val="auto"/>
          <w:kern w:val="0"/>
          <w:sz w:val="24"/>
          <w:szCs w:val="24"/>
        </w:rPr>
        <w:t>承担</w:t>
      </w:r>
      <w:r>
        <w:rPr>
          <w:rFonts w:hint="eastAsia" w:ascii="仿宋" w:hAnsi="仿宋" w:eastAsia="仿宋" w:cs="仿宋"/>
          <w:color w:val="auto"/>
          <w:kern w:val="0"/>
          <w:sz w:val="24"/>
          <w:szCs w:val="24"/>
          <w:lang w:eastAsia="zh-CN"/>
        </w:rPr>
        <w:t>全部责任</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在一个维保年度中，如果扣分等于或者大于15分，</w:t>
      </w:r>
      <w:r>
        <w:rPr>
          <w:rFonts w:hint="eastAsia" w:ascii="仿宋" w:hAnsi="仿宋" w:eastAsia="仿宋" w:cs="仿宋"/>
          <w:color w:val="auto"/>
          <w:kern w:val="0"/>
          <w:sz w:val="24"/>
          <w:szCs w:val="24"/>
        </w:rPr>
        <w:t>采购人有权解除合同</w:t>
      </w:r>
      <w:r>
        <w:rPr>
          <w:rFonts w:hint="eastAsia" w:ascii="仿宋" w:hAnsi="仿宋" w:eastAsia="仿宋" w:cs="仿宋"/>
          <w:color w:val="auto"/>
          <w:kern w:val="0"/>
          <w:sz w:val="24"/>
          <w:szCs w:val="24"/>
          <w:lang w:eastAsia="zh-CN"/>
        </w:rPr>
        <w:t>。</w:t>
      </w:r>
    </w:p>
    <w:p>
      <w:pPr>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三</w:t>
      </w:r>
      <w:r>
        <w:rPr>
          <w:rFonts w:hint="eastAsia" w:ascii="仿宋" w:hAnsi="仿宋" w:eastAsia="仿宋" w:cs="仿宋"/>
          <w:b/>
          <w:color w:val="auto"/>
          <w:sz w:val="24"/>
          <w:szCs w:val="24"/>
        </w:rPr>
        <w:t>、 500元及以下免费更换配件清单:（包含但不限于以下配件）</w:t>
      </w:r>
    </w:p>
    <w:p>
      <w:pPr>
        <w:widowControl/>
        <w:jc w:val="left"/>
        <w:rPr>
          <w:rFonts w:hint="eastAsia" w:ascii="仿宋" w:hAnsi="仿宋" w:eastAsia="仿宋" w:cs="仿宋"/>
          <w:color w:val="auto"/>
          <w:kern w:val="0"/>
          <w:sz w:val="24"/>
          <w:szCs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495"/>
        <w:gridCol w:w="249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各种电容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上行按钮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门锁接触器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中间/外招按钮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微动开关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下行按钮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门机编码器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轿厢按钮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层门开关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检修开关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安全接触器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控制继电器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各种电阻</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急停开关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对重靴衬</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辅助触头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安全钳开关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门联锁触点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语音报站音响</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限速器开关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接触器触头</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缓冲器开关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限速器张紧轮轴承</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抱闸模块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门滑块</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三角锁</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应急电源</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抱闸检测开关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润滑油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厅门滑块</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数码显示管</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对重油杯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各种按钮开关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轿厢油杯</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抱闸接触器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对重靴衬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轴承</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轿厢靴衬</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轿厢内风扇</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语音报站音响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油封</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轿厢警铃、蜂鸣器</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弹簧</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限速器张紧轮轴承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导靴</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极限开关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保险管</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门传动钢丝绳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门重锤钢丝绳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门滚轮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rPr>
            </w:pPr>
          </w:p>
        </w:tc>
      </w:tr>
    </w:tbl>
    <w:p>
      <w:pPr>
        <w:widowControl/>
        <w:jc w:val="left"/>
        <w:rPr>
          <w:rFonts w:hint="eastAsia" w:ascii="仿宋" w:hAnsi="仿宋" w:eastAsia="仿宋" w:cs="仿宋"/>
          <w:color w:val="auto"/>
          <w:kern w:val="0"/>
          <w:sz w:val="24"/>
          <w:szCs w:val="24"/>
        </w:rPr>
      </w:pPr>
    </w:p>
    <w:p>
      <w:pPr>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四</w:t>
      </w:r>
      <w:r>
        <w:rPr>
          <w:rFonts w:hint="eastAsia" w:ascii="仿宋" w:hAnsi="仿宋" w:eastAsia="仿宋" w:cs="仿宋"/>
          <w:b/>
          <w:color w:val="auto"/>
          <w:sz w:val="24"/>
          <w:szCs w:val="24"/>
        </w:rPr>
        <w:t>、500元以上配件价格清单：</w:t>
      </w:r>
    </w:p>
    <w:p>
      <w:pPr>
        <w:rPr>
          <w:rFonts w:hint="eastAsia" w:ascii="仿宋" w:hAnsi="仿宋" w:eastAsia="仿宋" w:cs="仿宋"/>
          <w:color w:val="auto"/>
          <w:sz w:val="24"/>
          <w:szCs w:val="24"/>
        </w:rPr>
      </w:pPr>
      <w:r>
        <w:rPr>
          <w:rFonts w:hint="eastAsia" w:ascii="仿宋" w:hAnsi="仿宋" w:eastAsia="仿宋" w:cs="仿宋"/>
          <w:color w:val="auto"/>
          <w:sz w:val="24"/>
          <w:szCs w:val="24"/>
        </w:rPr>
        <w:t>广日电梯配件价格：</w:t>
      </w:r>
    </w:p>
    <w:tbl>
      <w:tblPr>
        <w:tblStyle w:val="21"/>
        <w:tblW w:w="8248" w:type="dxa"/>
        <w:tblInd w:w="113" w:type="dxa"/>
        <w:tblLayout w:type="autofit"/>
        <w:tblCellMar>
          <w:top w:w="0" w:type="dxa"/>
          <w:left w:w="108" w:type="dxa"/>
          <w:bottom w:w="0" w:type="dxa"/>
          <w:right w:w="108" w:type="dxa"/>
        </w:tblCellMar>
      </w:tblPr>
      <w:tblGrid>
        <w:gridCol w:w="2086"/>
        <w:gridCol w:w="1271"/>
        <w:gridCol w:w="2804"/>
        <w:gridCol w:w="807"/>
        <w:gridCol w:w="1280"/>
      </w:tblGrid>
      <w:tr>
        <w:tblPrEx>
          <w:tblCellMar>
            <w:top w:w="0" w:type="dxa"/>
            <w:left w:w="108" w:type="dxa"/>
            <w:bottom w:w="0" w:type="dxa"/>
            <w:right w:w="108" w:type="dxa"/>
          </w:tblCellMar>
        </w:tblPrEx>
        <w:trPr>
          <w:trHeight w:val="104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配件名称</w:t>
            </w:r>
          </w:p>
        </w:tc>
        <w:tc>
          <w:tcPr>
            <w:tcW w:w="12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品牌</w:t>
            </w:r>
          </w:p>
        </w:tc>
        <w:tc>
          <w:tcPr>
            <w:tcW w:w="280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规格/型号</w:t>
            </w: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lang w:eastAsia="zh-CN"/>
              </w:rPr>
            </w:pPr>
            <w:r>
              <w:rPr>
                <w:rFonts w:hint="eastAsia" w:ascii="仿宋" w:hAnsi="仿宋" w:eastAsia="仿宋" w:cs="仿宋"/>
                <w:b/>
                <w:bCs/>
                <w:color w:val="FF0000"/>
                <w:kern w:val="0"/>
                <w:sz w:val="24"/>
                <w:szCs w:val="24"/>
                <w:lang w:eastAsia="zh-CN"/>
              </w:rPr>
              <w:t>最高限价（元）</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220V变压器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TKB-220-GR</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位置检测器组装（平层光电）</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GLS126NT</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涨紧装置</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XS3-B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621</w:t>
            </w:r>
          </w:p>
        </w:tc>
      </w:tr>
      <w:tr>
        <w:tblPrEx>
          <w:tblCellMar>
            <w:top w:w="0" w:type="dxa"/>
            <w:left w:w="108" w:type="dxa"/>
            <w:bottom w:w="0" w:type="dxa"/>
            <w:right w:w="108" w:type="dxa"/>
          </w:tblCellMar>
        </w:tblPrEx>
        <w:trPr>
          <w:trHeight w:val="58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交流主接触器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波力国际贸易</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SC-E3P-CAC220(4NO)</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控制开关电源</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广州日滨</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VC240XH380-A</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液压缓冲器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HYF210A</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900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MPMI门电机</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MPM65-N2-195-G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984</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语音报站板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SPB-02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语音报站板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SPB-02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1200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轿内显示板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GR-P-C00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1024</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轿顶电器箱总装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16812966B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1355</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GRZ轿厢通讯板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日滨</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GRZ</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1512</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轿底称重检测装置</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GRCZ</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1560</w:t>
            </w:r>
          </w:p>
        </w:tc>
      </w:tr>
      <w:tr>
        <w:tblPrEx>
          <w:tblCellMar>
            <w:top w:w="0" w:type="dxa"/>
            <w:left w:w="108" w:type="dxa"/>
            <w:bottom w:w="0" w:type="dxa"/>
            <w:right w:w="108" w:type="dxa"/>
          </w:tblCellMar>
        </w:tblPrEx>
        <w:trPr>
          <w:trHeight w:val="573"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光幕</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上海三斯</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CEDES TX2000-16BCK</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1800</w:t>
            </w:r>
          </w:p>
        </w:tc>
      </w:tr>
      <w:tr>
        <w:tblPrEx>
          <w:tblCellMar>
            <w:top w:w="0" w:type="dxa"/>
            <w:left w:w="108" w:type="dxa"/>
            <w:bottom w:w="0" w:type="dxa"/>
            <w:right w:w="108" w:type="dxa"/>
          </w:tblCellMar>
        </w:tblPrEx>
        <w:trPr>
          <w:trHeight w:val="55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机房导向轮装配</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16806603A0000（7槽）</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1950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1.75M/S  XS3-B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2600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旋转编码器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多摩川</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TS5246N160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2900</w:t>
            </w:r>
          </w:p>
        </w:tc>
      </w:tr>
      <w:tr>
        <w:tblPrEx>
          <w:tblCellMar>
            <w:top w:w="0" w:type="dxa"/>
            <w:left w:w="108" w:type="dxa"/>
            <w:bottom w:w="0" w:type="dxa"/>
            <w:right w:w="108" w:type="dxa"/>
          </w:tblCellMar>
        </w:tblPrEx>
        <w:trPr>
          <w:trHeight w:val="603"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客梯制动器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14813719A000（14E）</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2880</w:t>
            </w:r>
          </w:p>
        </w:tc>
      </w:tr>
      <w:tr>
        <w:tblPrEx>
          <w:tblCellMar>
            <w:top w:w="0" w:type="dxa"/>
            <w:left w:w="108" w:type="dxa"/>
            <w:bottom w:w="0" w:type="dxa"/>
            <w:right w:w="108" w:type="dxa"/>
          </w:tblCellMar>
        </w:tblPrEx>
        <w:trPr>
          <w:trHeight w:val="61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门机控制器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GRACE</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GRACE01，  异步899-G</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3024</w:t>
            </w:r>
          </w:p>
        </w:tc>
      </w:tr>
      <w:tr>
        <w:tblPrEx>
          <w:tblCellMar>
            <w:top w:w="0" w:type="dxa"/>
            <w:left w:w="108" w:type="dxa"/>
            <w:bottom w:w="0" w:type="dxa"/>
            <w:right w:w="108" w:type="dxa"/>
          </w:tblCellMar>
        </w:tblPrEx>
        <w:trPr>
          <w:trHeight w:val="890"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反绳轮装配</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轿顶反绳轮轿顶轮装配，7×φ10钢丝绳用</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2360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对重导向轮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16809063C0000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2360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轿顶导向轮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16809063D0000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2880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曳引轮（客梯）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沈阳蓝光</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14805243B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3210</w:t>
            </w:r>
          </w:p>
        </w:tc>
      </w:tr>
      <w:tr>
        <w:tblPrEx>
          <w:tblCellMar>
            <w:top w:w="0" w:type="dxa"/>
            <w:left w:w="108" w:type="dxa"/>
            <w:bottom w:w="0" w:type="dxa"/>
            <w:right w:w="108" w:type="dxa"/>
          </w:tblCellMar>
        </w:tblPrEx>
        <w:trPr>
          <w:trHeight w:val="1086"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医梯制动器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DZE-16-3   并联 4.8A  工作行程4MM，额定开闸力：3400N</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4380</w:t>
            </w:r>
          </w:p>
        </w:tc>
      </w:tr>
      <w:tr>
        <w:tblPrEx>
          <w:tblCellMar>
            <w:top w:w="0" w:type="dxa"/>
            <w:left w:w="108" w:type="dxa"/>
            <w:bottom w:w="0" w:type="dxa"/>
            <w:right w:w="108" w:type="dxa"/>
          </w:tblCellMar>
        </w:tblPrEx>
        <w:trPr>
          <w:trHeight w:val="76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对重轮装配（医梯）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16807980A0000（7槽）</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5660</w:t>
            </w:r>
          </w:p>
        </w:tc>
      </w:tr>
      <w:tr>
        <w:tblPrEx>
          <w:tblCellMar>
            <w:top w:w="0" w:type="dxa"/>
            <w:left w:w="108" w:type="dxa"/>
            <w:bottom w:w="0" w:type="dxa"/>
            <w:right w:w="108" w:type="dxa"/>
          </w:tblCellMar>
        </w:tblPrEx>
        <w:trPr>
          <w:trHeight w:val="76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曳引轮(医梯)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沈阳蓝光</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14805243E（7槽 适）</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6860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GRZ主控板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EV-IEL01</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8500</w:t>
            </w:r>
          </w:p>
        </w:tc>
      </w:tr>
      <w:tr>
        <w:tblPrEx>
          <w:tblCellMar>
            <w:top w:w="0" w:type="dxa"/>
            <w:left w:w="108" w:type="dxa"/>
            <w:bottom w:w="0" w:type="dxa"/>
            <w:right w:w="108" w:type="dxa"/>
          </w:tblCellMar>
        </w:tblPrEx>
        <w:trPr>
          <w:trHeight w:val="70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UPS电源（停电应急平层）</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科华</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14814870A0000（科华UPS电源）</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12000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变频控制器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艾默生</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EV-IEL01-4T0150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13500</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变频控制器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艾默生</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EV-IEL01-4T0220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16800</w:t>
            </w: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随行电缆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16820138D</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4</w:t>
            </w:r>
            <w:r>
              <w:rPr>
                <w:rFonts w:hint="eastAsia" w:ascii="仿宋" w:hAnsi="仿宋" w:eastAsia="仿宋" w:cs="仿宋"/>
                <w:color w:val="auto"/>
                <w:kern w:val="0"/>
                <w:sz w:val="24"/>
                <w:szCs w:val="24"/>
                <w:lang w:val="en-US" w:eastAsia="zh-CN"/>
              </w:rPr>
              <w:t>2</w:t>
            </w: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电梯钢丝绳</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Φ10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5</w:t>
            </w: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限速器钢丝绳</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Φ8</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12</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8</w:t>
            </w: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WFB补偿缆 （医梯）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WFB150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4</w:t>
            </w:r>
            <w:r>
              <w:rPr>
                <w:rFonts w:hint="eastAsia" w:ascii="仿宋" w:hAnsi="仿宋" w:eastAsia="仿宋" w:cs="仿宋"/>
                <w:color w:val="auto"/>
                <w:kern w:val="0"/>
                <w:sz w:val="24"/>
                <w:szCs w:val="24"/>
                <w:lang w:val="en-US" w:eastAsia="zh-CN"/>
              </w:rPr>
              <w:t>2</w:t>
            </w: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补偿缆（客梯）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13811232B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5</w:t>
            </w:r>
            <w:r>
              <w:rPr>
                <w:rFonts w:hint="eastAsia" w:ascii="仿宋" w:hAnsi="仿宋" w:eastAsia="仿宋" w:cs="仿宋"/>
                <w:color w:val="auto"/>
                <w:kern w:val="0"/>
                <w:sz w:val="24"/>
                <w:szCs w:val="24"/>
                <w:lang w:val="en-US" w:eastAsia="zh-CN"/>
              </w:rPr>
              <w:t>2</w:t>
            </w:r>
          </w:p>
        </w:tc>
      </w:tr>
    </w:tbl>
    <w:p>
      <w:pPr>
        <w:rPr>
          <w:rFonts w:hint="eastAsia" w:ascii="仿宋" w:hAnsi="仿宋" w:eastAsia="仿宋" w:cs="仿宋"/>
          <w:color w:val="auto"/>
          <w:sz w:val="24"/>
          <w:szCs w:val="24"/>
        </w:rPr>
      </w:pPr>
    </w:p>
    <w:p>
      <w:pPr>
        <w:tabs>
          <w:tab w:val="left" w:pos="3474"/>
        </w:tabs>
        <w:jc w:val="left"/>
        <w:rPr>
          <w:rFonts w:hint="eastAsia" w:ascii="仿宋" w:hAnsi="仿宋" w:eastAsia="仿宋" w:cs="仿宋"/>
          <w:color w:val="auto"/>
          <w:sz w:val="24"/>
          <w:szCs w:val="24"/>
        </w:rPr>
      </w:pPr>
    </w:p>
    <w:p>
      <w:pPr>
        <w:tabs>
          <w:tab w:val="left" w:pos="3474"/>
        </w:tabs>
        <w:jc w:val="left"/>
        <w:rPr>
          <w:rFonts w:hint="eastAsia" w:ascii="仿宋" w:hAnsi="仿宋" w:eastAsia="仿宋" w:cs="仿宋"/>
          <w:color w:val="auto"/>
          <w:sz w:val="24"/>
          <w:szCs w:val="24"/>
        </w:rPr>
      </w:pPr>
      <w:r>
        <w:rPr>
          <w:rFonts w:hint="eastAsia" w:ascii="仿宋" w:hAnsi="仿宋" w:eastAsia="仿宋" w:cs="仿宋"/>
          <w:color w:val="auto"/>
          <w:sz w:val="24"/>
          <w:szCs w:val="24"/>
        </w:rPr>
        <w:t>沃克斯电梯配件价格：</w:t>
      </w:r>
    </w:p>
    <w:p>
      <w:pPr>
        <w:tabs>
          <w:tab w:val="left" w:pos="3474"/>
        </w:tabs>
        <w:jc w:val="left"/>
        <w:rPr>
          <w:rFonts w:hint="eastAsia" w:ascii="仿宋" w:hAnsi="仿宋" w:eastAsia="仿宋" w:cs="仿宋"/>
          <w:color w:val="auto"/>
          <w:sz w:val="24"/>
          <w:szCs w:val="24"/>
        </w:rPr>
      </w:pPr>
    </w:p>
    <w:tbl>
      <w:tblPr>
        <w:tblStyle w:val="21"/>
        <w:tblW w:w="8264" w:type="dxa"/>
        <w:tblInd w:w="113" w:type="dxa"/>
        <w:tblLayout w:type="autofit"/>
        <w:tblCellMar>
          <w:top w:w="0" w:type="dxa"/>
          <w:left w:w="108" w:type="dxa"/>
          <w:bottom w:w="0" w:type="dxa"/>
          <w:right w:w="108" w:type="dxa"/>
        </w:tblCellMar>
      </w:tblPr>
      <w:tblGrid>
        <w:gridCol w:w="2579"/>
        <w:gridCol w:w="1321"/>
        <w:gridCol w:w="2007"/>
        <w:gridCol w:w="958"/>
        <w:gridCol w:w="1399"/>
      </w:tblGrid>
      <w:tr>
        <w:tblPrEx>
          <w:tblCellMar>
            <w:top w:w="0" w:type="dxa"/>
            <w:left w:w="108" w:type="dxa"/>
            <w:bottom w:w="0" w:type="dxa"/>
            <w:right w:w="108" w:type="dxa"/>
          </w:tblCellMar>
        </w:tblPrEx>
        <w:trPr>
          <w:trHeight w:val="901"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配件名称</w:t>
            </w:r>
          </w:p>
        </w:tc>
        <w:tc>
          <w:tcPr>
            <w:tcW w:w="13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品牌</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规格/型号</w:t>
            </w:r>
          </w:p>
        </w:tc>
        <w:tc>
          <w:tcPr>
            <w:tcW w:w="9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c>
          <w:tcPr>
            <w:tcW w:w="139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FF0000"/>
                <w:kern w:val="0"/>
                <w:sz w:val="24"/>
                <w:szCs w:val="24"/>
                <w:lang w:eastAsia="zh-CN"/>
              </w:rPr>
              <w:t>最高限价（元）</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操纵箱信号控制板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03-D</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操纵箱通讯控制板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02/G</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操纵箱显示控制板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04-VRF</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门机变频器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申菱</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NSFC-01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称重装置控制仪</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VKS-S2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轿顶检修盒</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JXH-01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02/H</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补偿链导向装置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90*60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520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红外线光幕</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VKS-957-A</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缓冲器（1.75m/s）</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0H-210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同步主机制动器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MEKB</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4800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同步主机磁钢体</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MGCC</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电梯检修控制盒</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JX-02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550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同步主机轴承组件</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日本NSK</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NSK-6311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限速器（1.75）</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OX-240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1330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涨紧装置及断绳开关</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OX-300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650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外招控制板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04-VRF</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变频器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VKS-S8</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变频器控制底板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VKS-S8D</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微机主控板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VKS-F50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4550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变频门电机</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太平</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MDJ-90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主机编码器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海德汉</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VKS-2048</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平层光电开关</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瑞电士</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CEDCS</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540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主机曳引轮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Y520*5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3800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J520*5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导向轮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D520*5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2400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对重返绳轮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F520*5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3500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厅门地坎</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60*1900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运行主接触器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富士</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SC-N25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650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轿厢液晶显示屏</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SM-04-UL</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电梯控制电源</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名纬</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VKS-S-120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650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应急平层装置电源（元/台.组）</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骆驼</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D-1209</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2100</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应急平层装置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劦通</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ARD-22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7500</w:t>
            </w:r>
          </w:p>
        </w:tc>
      </w:tr>
      <w:tr>
        <w:tblPrEx>
          <w:tblCellMar>
            <w:top w:w="0" w:type="dxa"/>
            <w:left w:w="108" w:type="dxa"/>
            <w:bottom w:w="0" w:type="dxa"/>
            <w:right w:w="108" w:type="dxa"/>
          </w:tblCellMar>
        </w:tblPrEx>
        <w:trPr>
          <w:trHeight w:val="571" w:hRule="atLeast"/>
        </w:trPr>
        <w:tc>
          <w:tcPr>
            <w:tcW w:w="2579" w:type="dxa"/>
            <w:tcBorders>
              <w:top w:val="nil"/>
              <w:left w:val="single" w:color="auto" w:sz="4" w:space="0"/>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随行电缆（40芯）</w:t>
            </w:r>
          </w:p>
        </w:tc>
        <w:tc>
          <w:tcPr>
            <w:tcW w:w="1321"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沃克斯</w:t>
            </w:r>
          </w:p>
        </w:tc>
        <w:tc>
          <w:tcPr>
            <w:tcW w:w="2007"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VOLKS-BP3-T</w:t>
            </w:r>
          </w:p>
        </w:tc>
        <w:tc>
          <w:tcPr>
            <w:tcW w:w="958"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根</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5</w:t>
            </w:r>
            <w:r>
              <w:rPr>
                <w:rFonts w:hint="eastAsia" w:ascii="仿宋" w:hAnsi="仿宋" w:eastAsia="仿宋" w:cs="仿宋"/>
                <w:color w:val="auto"/>
                <w:kern w:val="0"/>
                <w:sz w:val="24"/>
                <w:szCs w:val="24"/>
                <w:lang w:val="en-US" w:eastAsia="zh-CN"/>
              </w:rPr>
              <w:t>2</w:t>
            </w:r>
          </w:p>
        </w:tc>
      </w:tr>
      <w:tr>
        <w:tblPrEx>
          <w:tblCellMar>
            <w:top w:w="0" w:type="dxa"/>
            <w:left w:w="108" w:type="dxa"/>
            <w:bottom w:w="0" w:type="dxa"/>
            <w:right w:w="108" w:type="dxa"/>
          </w:tblCellMar>
        </w:tblPrEx>
        <w:trPr>
          <w:trHeight w:val="43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补偿链 （元/米）</w:t>
            </w:r>
          </w:p>
        </w:tc>
        <w:tc>
          <w:tcPr>
            <w:tcW w:w="1321"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海宁</w:t>
            </w:r>
          </w:p>
        </w:tc>
        <w:tc>
          <w:tcPr>
            <w:tcW w:w="200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WFQS150</w:t>
            </w:r>
          </w:p>
        </w:tc>
        <w:tc>
          <w:tcPr>
            <w:tcW w:w="958"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6</w:t>
            </w:r>
            <w:r>
              <w:rPr>
                <w:rFonts w:hint="eastAsia" w:ascii="仿宋" w:hAnsi="仿宋" w:eastAsia="仿宋" w:cs="仿宋"/>
                <w:color w:val="auto"/>
                <w:kern w:val="0"/>
                <w:sz w:val="24"/>
                <w:szCs w:val="24"/>
                <w:lang w:val="en-US" w:eastAsia="zh-CN"/>
              </w:rPr>
              <w:t>2</w:t>
            </w:r>
          </w:p>
        </w:tc>
      </w:tr>
      <w:tr>
        <w:tblPrEx>
          <w:tblCellMar>
            <w:top w:w="0" w:type="dxa"/>
            <w:left w:w="108" w:type="dxa"/>
            <w:bottom w:w="0" w:type="dxa"/>
            <w:right w:w="108" w:type="dxa"/>
          </w:tblCellMar>
        </w:tblPrEx>
        <w:trPr>
          <w:trHeight w:val="439" w:hRule="atLeast"/>
        </w:trPr>
        <w:tc>
          <w:tcPr>
            <w:tcW w:w="2579" w:type="dxa"/>
            <w:tcBorders>
              <w:top w:val="nil"/>
              <w:left w:val="single" w:color="auto" w:sz="4" w:space="0"/>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钢丝绳（元/米）</w:t>
            </w:r>
          </w:p>
        </w:tc>
        <w:tc>
          <w:tcPr>
            <w:tcW w:w="1321"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赛福天</w:t>
            </w:r>
          </w:p>
        </w:tc>
        <w:tc>
          <w:tcPr>
            <w:tcW w:w="2007"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10MM</w:t>
            </w:r>
          </w:p>
        </w:tc>
        <w:tc>
          <w:tcPr>
            <w:tcW w:w="958"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根</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5</w:t>
            </w:r>
          </w:p>
        </w:tc>
      </w:tr>
    </w:tbl>
    <w:p>
      <w:pPr>
        <w:rPr>
          <w:rFonts w:hint="eastAsia" w:ascii="仿宋" w:hAnsi="仿宋" w:eastAsia="仿宋" w:cs="仿宋"/>
          <w:color w:val="auto"/>
          <w:sz w:val="24"/>
          <w:szCs w:val="24"/>
        </w:rPr>
      </w:pPr>
    </w:p>
    <w:p>
      <w:pPr>
        <w:widowControl/>
        <w:spacing w:line="36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实际中遇到如本表中没有列入的配件，双方市场询价、协商解决。</w:t>
      </w:r>
    </w:p>
    <w:p>
      <w:pPr>
        <w:rPr>
          <w:rFonts w:hint="eastAsia" w:ascii="仿宋" w:hAnsi="仿宋" w:eastAsia="仿宋" w:cs="仿宋"/>
          <w:sz w:val="24"/>
          <w:szCs w:val="24"/>
        </w:rPr>
      </w:pPr>
      <w:r>
        <w:rPr>
          <w:rFonts w:hint="eastAsia" w:ascii="仿宋" w:hAnsi="仿宋" w:eastAsia="仿宋" w:cs="仿宋"/>
          <w:b/>
          <w:bCs/>
          <w:sz w:val="24"/>
          <w:szCs w:val="24"/>
          <w:lang w:eastAsia="zh-CN"/>
        </w:rPr>
        <w:t>五、其他</w:t>
      </w:r>
      <w:r>
        <w:rPr>
          <w:rFonts w:hint="eastAsia" w:ascii="仿宋" w:hAnsi="仿宋" w:eastAsia="仿宋" w:cs="仿宋"/>
          <w:b/>
          <w:bCs/>
          <w:sz w:val="24"/>
          <w:szCs w:val="24"/>
        </w:rPr>
        <w:t>要求：</w:t>
      </w:r>
      <w:r>
        <w:rPr>
          <w:rFonts w:hint="eastAsia" w:ascii="仿宋" w:hAnsi="仿宋" w:eastAsia="仿宋" w:cs="仿宋"/>
          <w:sz w:val="24"/>
          <w:szCs w:val="24"/>
        </w:rPr>
        <w:t xml:space="preserve"> </w:t>
      </w:r>
    </w:p>
    <w:p>
      <w:pPr>
        <w:pStyle w:val="11"/>
        <w:ind w:left="0" w:leftChars="0" w:firstLine="0" w:firstLineChars="0"/>
        <w:rPr>
          <w:rFonts w:hint="eastAsia" w:ascii="仿宋" w:hAnsi="仿宋" w:eastAsia="仿宋" w:cs="仿宋"/>
          <w:sz w:val="24"/>
          <w:szCs w:val="24"/>
          <w:lang w:eastAsia="zh-CN"/>
        </w:rPr>
      </w:pPr>
      <w:bookmarkStart w:id="0" w:name="_Hlk515891851"/>
      <w:bookmarkEnd w:id="0"/>
      <w:r>
        <w:rPr>
          <w:rFonts w:hint="eastAsia" w:ascii="仿宋" w:hAnsi="仿宋" w:eastAsia="仿宋" w:cs="仿宋"/>
          <w:sz w:val="24"/>
          <w:szCs w:val="24"/>
          <w:lang w:eastAsia="zh-CN"/>
        </w:rPr>
        <w:t>详见合同约定条款</w:t>
      </w:r>
    </w:p>
    <w:p>
      <w:pPr>
        <w:rPr>
          <w:rFonts w:hint="eastAsia"/>
          <w:lang w:eastAsia="zh-CN"/>
        </w:rPr>
      </w:pPr>
    </w:p>
    <w:p>
      <w:pPr>
        <w:spacing w:line="360" w:lineRule="auto"/>
        <w:jc w:val="center"/>
        <w:rPr>
          <w:rFonts w:ascii="仿宋" w:hAnsi="仿宋" w:eastAsia="仿宋" w:cs="仿宋"/>
          <w:b/>
          <w:sz w:val="24"/>
          <w:szCs w:val="24"/>
        </w:rPr>
      </w:pPr>
      <w:r>
        <w:rPr>
          <w:rFonts w:hint="eastAsia" w:ascii="仿宋" w:hAnsi="仿宋" w:eastAsia="仿宋" w:cs="仿宋"/>
          <w:b/>
          <w:sz w:val="24"/>
          <w:szCs w:val="24"/>
        </w:rPr>
        <w:t>第二部分 供应商资格要求应提供的相关资料</w:t>
      </w:r>
    </w:p>
    <w:tbl>
      <w:tblPr>
        <w:tblStyle w:val="2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4276"/>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ind w:left="20" w:leftChars="-67" w:hanging="161" w:hangingChars="67"/>
              <w:jc w:val="center"/>
              <w:rPr>
                <w:rFonts w:ascii="仿宋" w:hAnsi="仿宋" w:eastAsia="仿宋" w:cs="仿宋"/>
                <w:b/>
                <w:color w:val="000000"/>
                <w:sz w:val="24"/>
                <w:szCs w:val="24"/>
              </w:rPr>
            </w:pPr>
            <w:r>
              <w:rPr>
                <w:rFonts w:hint="eastAsia" w:ascii="仿宋" w:hAnsi="仿宋" w:eastAsia="仿宋" w:cs="仿宋"/>
                <w:b/>
                <w:color w:val="000000"/>
                <w:sz w:val="24"/>
                <w:szCs w:val="24"/>
              </w:rPr>
              <w:t>序号</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资格条件</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磋商人应具备的条件或说明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000000"/>
                <w:sz w:val="24"/>
                <w:szCs w:val="24"/>
              </w:rPr>
            </w:pPr>
            <w:r>
              <w:rPr>
                <w:rFonts w:hint="eastAsia" w:ascii="仿宋" w:hAnsi="仿宋" w:eastAsia="仿宋" w:cs="仿宋"/>
                <w:bCs/>
                <w:color w:val="000000"/>
                <w:sz w:val="24"/>
                <w:szCs w:val="24"/>
              </w:rPr>
              <w:t>具有独立承担民事责任的能力</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具有良好的商业信誉和健全的财务会计制度</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具有履行合同所必须的设备和专业技术能力</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具有依法缴纳税收和社会保障资金的良好记录</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投标人参加本次采购活动前三年内，应具有良好的维保业绩及信誉，以及在近3年内不存在违反招投标和政府采购相关法律法规的禁止行为，在</w:t>
            </w:r>
            <w:r>
              <w:rPr>
                <w:rFonts w:hint="eastAsia" w:ascii="仿宋" w:hAnsi="仿宋" w:eastAsia="仿宋" w:cs="仿宋"/>
                <w:bCs/>
                <w:color w:val="000000"/>
                <w:sz w:val="24"/>
                <w:szCs w:val="24"/>
                <w:lang w:eastAsia="zh-CN"/>
              </w:rPr>
              <w:t>维护、</w:t>
            </w:r>
            <w:r>
              <w:rPr>
                <w:rFonts w:hint="eastAsia" w:ascii="仿宋" w:hAnsi="仿宋" w:eastAsia="仿宋" w:cs="仿宋"/>
                <w:bCs/>
                <w:color w:val="000000"/>
                <w:sz w:val="24"/>
                <w:szCs w:val="24"/>
              </w:rPr>
              <w:t>维</w:t>
            </w:r>
            <w:r>
              <w:rPr>
                <w:rFonts w:hint="eastAsia" w:ascii="仿宋" w:hAnsi="仿宋" w:eastAsia="仿宋" w:cs="仿宋"/>
                <w:bCs/>
                <w:color w:val="000000"/>
                <w:sz w:val="24"/>
                <w:szCs w:val="24"/>
                <w:lang w:eastAsia="zh-CN"/>
              </w:rPr>
              <w:t>修</w:t>
            </w:r>
            <w:r>
              <w:rPr>
                <w:rFonts w:hint="eastAsia" w:ascii="仿宋" w:hAnsi="仿宋" w:eastAsia="仿宋" w:cs="仿宋"/>
                <w:bCs/>
                <w:color w:val="000000"/>
                <w:sz w:val="24"/>
                <w:szCs w:val="24"/>
              </w:rPr>
              <w:t>、修理过程中未发生过重大安全责任事故</w:t>
            </w:r>
            <w:r>
              <w:rPr>
                <w:rFonts w:hint="eastAsia" w:ascii="仿宋" w:hAnsi="仿宋" w:eastAsia="仿宋" w:cs="仿宋"/>
                <w:bCs/>
                <w:color w:val="000000"/>
                <w:sz w:val="24"/>
                <w:szCs w:val="24"/>
                <w:lang w:val="en-US" w:eastAsia="zh-CN"/>
              </w:rPr>
              <w:t>;</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参加本次活动前三年内，投标人参加本次采购活动前三年内，应具有良好的维保业绩及信誉，以及在近3年内不存在违反招投标和政府采购相关法律法规的禁止行为，在</w:t>
            </w:r>
            <w:r>
              <w:rPr>
                <w:rFonts w:hint="eastAsia" w:ascii="仿宋" w:hAnsi="仿宋" w:eastAsia="仿宋" w:cs="仿宋"/>
                <w:bCs/>
                <w:color w:val="000000"/>
                <w:sz w:val="24"/>
                <w:szCs w:val="24"/>
                <w:lang w:eastAsia="zh-CN"/>
              </w:rPr>
              <w:t>维护、</w:t>
            </w:r>
            <w:r>
              <w:rPr>
                <w:rFonts w:hint="eastAsia" w:ascii="仿宋" w:hAnsi="仿宋" w:eastAsia="仿宋" w:cs="仿宋"/>
                <w:bCs/>
                <w:color w:val="000000"/>
                <w:sz w:val="24"/>
                <w:szCs w:val="24"/>
              </w:rPr>
              <w:t>维</w:t>
            </w:r>
            <w:r>
              <w:rPr>
                <w:rFonts w:hint="eastAsia" w:ascii="仿宋" w:hAnsi="仿宋" w:eastAsia="仿宋" w:cs="仿宋"/>
                <w:bCs/>
                <w:color w:val="000000"/>
                <w:sz w:val="24"/>
                <w:szCs w:val="24"/>
                <w:lang w:eastAsia="zh-CN"/>
              </w:rPr>
              <w:t>修</w:t>
            </w:r>
            <w:r>
              <w:rPr>
                <w:rFonts w:hint="eastAsia" w:ascii="仿宋" w:hAnsi="仿宋" w:eastAsia="仿宋" w:cs="仿宋"/>
                <w:bCs/>
                <w:color w:val="000000"/>
                <w:sz w:val="24"/>
                <w:szCs w:val="24"/>
              </w:rPr>
              <w:t>、修理过程中未发生过重大安全责任事故的承诺。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投标人须具有：《中华人民共和国特种设备生产许可证》 ，许可项目：电梯制造（含安装、修理、改造）或电梯安装（含修理），许可子项目：曳引驱动乘客电梯（含消防员电梯））</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《中华人民共和国特种设备生产许可证》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17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本项目现场</w:t>
            </w:r>
            <w:r>
              <w:rPr>
                <w:rFonts w:hint="eastAsia" w:ascii="仿宋" w:hAnsi="仿宋" w:eastAsia="仿宋" w:cs="仿宋"/>
                <w:bCs/>
                <w:color w:val="000000"/>
                <w:sz w:val="24"/>
                <w:szCs w:val="24"/>
                <w:lang w:eastAsia="zh-CN"/>
              </w:rPr>
              <w:t>维护、</w:t>
            </w:r>
            <w:r>
              <w:rPr>
                <w:rFonts w:hint="eastAsia" w:ascii="仿宋" w:hAnsi="仿宋" w:eastAsia="仿宋" w:cs="仿宋"/>
                <w:bCs/>
                <w:color w:val="000000"/>
                <w:sz w:val="24"/>
                <w:szCs w:val="24"/>
              </w:rPr>
              <w:t>维修</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保养（简称：维保，下同）人员必须取得《特种设备作业人员证》，持证上岗</w:t>
            </w:r>
          </w:p>
        </w:tc>
        <w:tc>
          <w:tcPr>
            <w:tcW w:w="2503"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现场</w:t>
            </w:r>
            <w:r>
              <w:rPr>
                <w:rFonts w:hint="eastAsia" w:ascii="仿宋" w:hAnsi="仿宋" w:eastAsia="仿宋" w:cs="仿宋"/>
                <w:bCs/>
                <w:color w:val="000000"/>
                <w:sz w:val="24"/>
                <w:szCs w:val="24"/>
                <w:lang w:eastAsia="zh-CN"/>
              </w:rPr>
              <w:t>维护、</w:t>
            </w:r>
            <w:r>
              <w:rPr>
                <w:rFonts w:hint="eastAsia" w:ascii="仿宋" w:hAnsi="仿宋" w:eastAsia="仿宋" w:cs="仿宋"/>
                <w:bCs/>
                <w:color w:val="000000"/>
                <w:sz w:val="24"/>
                <w:szCs w:val="24"/>
              </w:rPr>
              <w:t>维修</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保养人员</w:t>
            </w:r>
            <w:r>
              <w:rPr>
                <w:rFonts w:hint="eastAsia" w:ascii="仿宋" w:hAnsi="仿宋" w:eastAsia="仿宋" w:cs="仿宋"/>
                <w:bCs/>
                <w:color w:val="000000"/>
                <w:sz w:val="24"/>
                <w:szCs w:val="24"/>
                <w:lang w:eastAsia="zh-CN"/>
              </w:rPr>
              <w:t>具有</w:t>
            </w:r>
            <w:r>
              <w:rPr>
                <w:rFonts w:hint="eastAsia" w:ascii="仿宋" w:hAnsi="仿宋" w:eastAsia="仿宋" w:cs="仿宋"/>
                <w:bCs/>
                <w:color w:val="000000"/>
                <w:sz w:val="24"/>
                <w:szCs w:val="24"/>
              </w:rPr>
              <w:t>《特种设备作业人员证》</w:t>
            </w:r>
          </w:p>
        </w:tc>
      </w:tr>
    </w:tbl>
    <w:p>
      <w:pPr>
        <w:jc w:val="center"/>
        <w:rPr>
          <w:rFonts w:ascii="仿宋" w:hAnsi="仿宋" w:eastAsia="仿宋" w:cs="仿宋"/>
          <w:b/>
          <w:sz w:val="24"/>
          <w:szCs w:val="24"/>
        </w:rPr>
      </w:pPr>
    </w:p>
    <w:p>
      <w:pPr>
        <w:jc w:val="center"/>
        <w:rPr>
          <w:rFonts w:ascii="仿宋" w:hAnsi="仿宋" w:eastAsia="仿宋" w:cs="仿宋"/>
          <w:b/>
          <w:color w:val="FF0000"/>
          <w:sz w:val="24"/>
          <w:szCs w:val="24"/>
        </w:rPr>
      </w:pPr>
    </w:p>
    <w:p>
      <w:pPr>
        <w:jc w:val="both"/>
        <w:rPr>
          <w:rFonts w:ascii="仿宋" w:hAnsi="仿宋" w:eastAsia="仿宋" w:cs="仿宋"/>
          <w:b/>
          <w:color w:val="FF0000"/>
          <w:sz w:val="24"/>
          <w:szCs w:val="24"/>
        </w:rPr>
        <w:sectPr>
          <w:footerReference r:id="rId3" w:type="default"/>
          <w:pgSz w:w="11906" w:h="16838"/>
          <w:pgMar w:top="1134" w:right="1134" w:bottom="1134" w:left="1134" w:header="851" w:footer="992" w:gutter="0"/>
          <w:cols w:space="720" w:num="1"/>
          <w:titlePg/>
          <w:docGrid w:type="lines" w:linePitch="312" w:charSpace="0"/>
        </w:sectPr>
      </w:pPr>
      <w:r>
        <w:rPr>
          <w:rFonts w:hint="eastAsia" w:ascii="仿宋" w:hAnsi="仿宋" w:eastAsia="仿宋" w:cs="仿宋"/>
          <w:b/>
          <w:color w:val="FF0000"/>
          <w:sz w:val="24"/>
          <w:szCs w:val="24"/>
          <w:lang w:eastAsia="zh-CN"/>
        </w:rPr>
        <w:t>以上资料需要投标公司盖章</w:t>
      </w:r>
    </w:p>
    <w:p>
      <w:pPr>
        <w:jc w:val="center"/>
        <w:rPr>
          <w:rFonts w:ascii="仿宋" w:hAnsi="仿宋" w:eastAsia="仿宋" w:cs="仿宋"/>
          <w:b/>
          <w:sz w:val="24"/>
          <w:szCs w:val="24"/>
        </w:rPr>
      </w:pPr>
      <w:r>
        <w:rPr>
          <w:rFonts w:hint="eastAsia" w:ascii="仿宋" w:hAnsi="仿宋" w:eastAsia="仿宋" w:cs="仿宋"/>
          <w:b/>
          <w:sz w:val="24"/>
          <w:szCs w:val="24"/>
        </w:rPr>
        <w:t>第三部分 评审办法</w:t>
      </w:r>
    </w:p>
    <w:p>
      <w:pPr>
        <w:widowControl/>
        <w:jc w:val="left"/>
        <w:rPr>
          <w:rFonts w:hint="eastAsia" w:ascii="宋体" w:hAnsi="宋体" w:cs="宋体"/>
          <w:color w:val="auto"/>
          <w:kern w:val="0"/>
          <w:sz w:val="24"/>
        </w:rPr>
      </w:pPr>
      <w:r>
        <w:rPr>
          <w:rFonts w:hint="eastAsia" w:ascii="仿宋" w:hAnsi="仿宋" w:eastAsia="仿宋" w:cs="仿宋"/>
          <w:sz w:val="24"/>
          <w:szCs w:val="24"/>
        </w:rPr>
        <w:t>评分标准：</w:t>
      </w:r>
    </w:p>
    <w:p>
      <w:pPr>
        <w:widowControl/>
        <w:jc w:val="left"/>
        <w:rPr>
          <w:rFonts w:hint="eastAsia" w:ascii="宋体" w:hAnsi="宋体" w:cs="宋体"/>
          <w:color w:val="auto"/>
          <w:kern w:val="0"/>
          <w:sz w:val="24"/>
        </w:rPr>
      </w:pPr>
    </w:p>
    <w:tbl>
      <w:tblPr>
        <w:tblStyle w:val="21"/>
        <w:tblW w:w="0" w:type="auto"/>
        <w:tblInd w:w="-9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95"/>
        <w:gridCol w:w="1350"/>
        <w:gridCol w:w="795"/>
        <w:gridCol w:w="57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权重</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分值</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评分细则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w:t>
            </w: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投标报价</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30</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以评标委员会认定的有效投标商的有效投标文件中的最低价为评标基准价，其价格分为满分。其他供应商的价格分统一按下列公式计算：投标报价得分=（评标基准价/投标报价）×30。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w:t>
            </w: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配件报价</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cs="宋体"/>
                <w:color w:val="auto"/>
                <w:kern w:val="0"/>
                <w:szCs w:val="21"/>
              </w:rPr>
            </w:pPr>
            <w:r>
              <w:rPr>
                <w:rFonts w:hint="eastAsia" w:ascii="宋体" w:hAnsi="宋体" w:eastAsia="宋体" w:cs="宋体"/>
                <w:color w:val="auto"/>
                <w:kern w:val="0"/>
                <w:szCs w:val="21"/>
                <w:lang w:eastAsia="zh-CN"/>
              </w:rPr>
              <w:t>投标人按照招标文件中的“</w:t>
            </w:r>
            <w:r>
              <w:rPr>
                <w:rFonts w:hint="eastAsia" w:ascii="宋体" w:hAnsi="宋体" w:eastAsia="宋体" w:cs="宋体"/>
                <w:color w:val="auto"/>
                <w:kern w:val="0"/>
                <w:szCs w:val="21"/>
              </w:rPr>
              <w:t>500元以上配件价格清单</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 xml:space="preserve"> 报整体</w:t>
            </w:r>
            <w:r>
              <w:rPr>
                <w:rFonts w:hint="eastAsia" w:ascii="宋体" w:hAnsi="宋体" w:cs="宋体"/>
                <w:color w:val="auto"/>
                <w:kern w:val="0"/>
                <w:szCs w:val="21"/>
              </w:rPr>
              <w:t>下浮率，</w:t>
            </w:r>
            <w:r>
              <w:rPr>
                <w:rFonts w:hint="eastAsia" w:ascii="宋体" w:hAnsi="宋体" w:cs="宋体"/>
                <w:color w:val="auto"/>
                <w:kern w:val="0"/>
                <w:szCs w:val="21"/>
                <w:lang w:eastAsia="zh-CN"/>
              </w:rPr>
              <w:t>有效投标文件中，</w:t>
            </w:r>
            <w:r>
              <w:rPr>
                <w:rFonts w:hint="eastAsia" w:ascii="宋体" w:hAnsi="宋体" w:cs="宋体"/>
                <w:color w:val="FF0000"/>
                <w:kern w:val="0"/>
                <w:szCs w:val="21"/>
              </w:rPr>
              <w:t>最高</w:t>
            </w:r>
            <w:r>
              <w:rPr>
                <w:rFonts w:hint="eastAsia" w:ascii="宋体" w:hAnsi="宋体" w:cs="宋体"/>
                <w:color w:val="FF0000"/>
                <w:kern w:val="0"/>
                <w:szCs w:val="21"/>
                <w:lang w:eastAsia="zh-CN"/>
              </w:rPr>
              <w:t>下浮率</w:t>
            </w:r>
            <w:r>
              <w:rPr>
                <w:rFonts w:hint="eastAsia" w:ascii="宋体" w:hAnsi="宋体" w:cs="宋体"/>
                <w:color w:val="FF0000"/>
                <w:kern w:val="0"/>
                <w:szCs w:val="21"/>
              </w:rPr>
              <w:t>得</w:t>
            </w:r>
            <w:r>
              <w:rPr>
                <w:rFonts w:hint="eastAsia" w:ascii="宋体" w:hAnsi="宋体" w:cs="宋体"/>
                <w:color w:val="auto"/>
                <w:kern w:val="0"/>
                <w:szCs w:val="21"/>
              </w:rPr>
              <w:t>10分。</w:t>
            </w:r>
            <w:r>
              <w:rPr>
                <w:rFonts w:hint="eastAsia" w:ascii="宋体" w:hAnsi="宋体" w:cs="宋体"/>
                <w:color w:val="auto"/>
                <w:kern w:val="0"/>
                <w:szCs w:val="21"/>
                <w:lang w:eastAsia="zh-CN"/>
              </w:rPr>
              <w:t>配件报价得分</w:t>
            </w:r>
            <w:r>
              <w:rPr>
                <w:rFonts w:hint="eastAsia" w:ascii="宋体" w:hAnsi="宋体" w:cs="宋体"/>
                <w:color w:val="auto"/>
                <w:kern w:val="0"/>
                <w:szCs w:val="21"/>
                <w:lang w:val="en-US" w:eastAsia="zh-CN"/>
              </w:rPr>
              <w:t>=</w:t>
            </w:r>
            <w:r>
              <w:rPr>
                <w:rFonts w:hint="eastAsia" w:ascii="宋体" w:hAnsi="宋体" w:cs="宋体"/>
                <w:color w:val="auto"/>
                <w:kern w:val="0"/>
                <w:szCs w:val="21"/>
              </w:rPr>
              <w:t>10</w:t>
            </w:r>
            <w:r>
              <w:rPr>
                <w:rFonts w:hint="eastAsia" w:ascii="宋体" w:hAnsi="宋体" w:cs="宋体"/>
                <w:color w:val="FF0000"/>
                <w:kern w:val="0"/>
                <w:szCs w:val="21"/>
              </w:rPr>
              <w:t>×</w:t>
            </w:r>
            <w:r>
              <w:rPr>
                <w:rFonts w:hint="eastAsia" w:ascii="宋体" w:hAnsi="宋体" w:cs="宋体"/>
                <w:color w:val="auto"/>
                <w:kern w:val="0"/>
                <w:szCs w:val="21"/>
              </w:rPr>
              <w:t>（1-</w:t>
            </w:r>
            <w:r>
              <w:rPr>
                <w:rFonts w:hint="eastAsia" w:ascii="宋体" w:hAnsi="宋体" w:cs="宋体"/>
                <w:color w:val="auto"/>
                <w:kern w:val="0"/>
                <w:szCs w:val="21"/>
                <w:lang w:eastAsia="zh-CN"/>
              </w:rPr>
              <w:t>有效投标</w:t>
            </w:r>
            <w:r>
              <w:rPr>
                <w:rFonts w:hint="eastAsia" w:ascii="宋体" w:hAnsi="宋体" w:cs="宋体"/>
                <w:color w:val="FF0000"/>
                <w:kern w:val="0"/>
                <w:szCs w:val="21"/>
                <w:lang w:eastAsia="zh-CN"/>
              </w:rPr>
              <w:t>中</w:t>
            </w:r>
            <w:r>
              <w:rPr>
                <w:rFonts w:hint="eastAsia" w:ascii="宋体" w:hAnsi="宋体" w:cs="宋体"/>
                <w:color w:val="auto"/>
                <w:kern w:val="0"/>
                <w:szCs w:val="21"/>
                <w:lang w:eastAsia="zh-CN"/>
              </w:rPr>
              <w:t>的</w:t>
            </w:r>
            <w:r>
              <w:rPr>
                <w:rFonts w:hint="eastAsia" w:ascii="宋体" w:hAnsi="宋体" w:cs="宋体"/>
                <w:color w:val="auto"/>
                <w:kern w:val="0"/>
                <w:szCs w:val="21"/>
              </w:rPr>
              <w:t>最高下浮率）/(1-</w:t>
            </w:r>
            <w:r>
              <w:rPr>
                <w:rFonts w:hint="eastAsia" w:ascii="宋体" w:hAnsi="宋体" w:cs="宋体"/>
                <w:color w:val="FF0000"/>
                <w:kern w:val="0"/>
                <w:szCs w:val="21"/>
                <w:lang w:eastAsia="zh-CN"/>
              </w:rPr>
              <w:t>投标</w:t>
            </w:r>
            <w:r>
              <w:rPr>
                <w:rFonts w:hint="eastAsia" w:ascii="宋体" w:hAnsi="宋体" w:cs="宋体"/>
                <w:color w:val="auto"/>
                <w:kern w:val="0"/>
                <w:szCs w:val="21"/>
              </w:rPr>
              <w:t>下浮率)。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w:t>
            </w: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实施方案</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cs="宋体"/>
                <w:color w:val="auto"/>
                <w:kern w:val="0"/>
                <w:szCs w:val="21"/>
              </w:rPr>
            </w:pPr>
            <w:r>
              <w:rPr>
                <w:color w:val="auto"/>
              </w:rPr>
              <w:t>根据</w:t>
            </w:r>
            <w:r>
              <w:rPr>
                <w:rFonts w:hint="eastAsia"/>
                <w:color w:val="auto"/>
              </w:rPr>
              <w:t>投标</w:t>
            </w:r>
            <w:r>
              <w:rPr>
                <w:color w:val="auto"/>
              </w:rPr>
              <w:t>商提供的项目实施方案进行评审，该方案应包含：①维保方案②维保质量保障措施③技术措施④备品备件情况⑤故障排除时间、故障处理措施⑥安全教育及培训计划⑦文明及安全管理措施、安全维护及现场秩序保障⑧售后服务措施、</w:t>
            </w:r>
            <w:r>
              <w:rPr>
                <w:rFonts w:hint="eastAsia"/>
                <w:color w:val="auto"/>
              </w:rPr>
              <w:t>响应时间、</w:t>
            </w:r>
            <w:r>
              <w:rPr>
                <w:color w:val="auto"/>
              </w:rPr>
              <w:t>售后服务范围。完整提供上述8项内容的得</w:t>
            </w:r>
            <w:r>
              <w:rPr>
                <w:rFonts w:hint="eastAsia"/>
                <w:color w:val="auto"/>
              </w:rPr>
              <w:t>32</w:t>
            </w:r>
            <w:r>
              <w:rPr>
                <w:color w:val="auto"/>
              </w:rPr>
              <w:t>分；每有一项未提供扣</w:t>
            </w:r>
            <w:r>
              <w:rPr>
                <w:rFonts w:hint="eastAsia"/>
                <w:color w:val="auto"/>
              </w:rPr>
              <w:t>4</w:t>
            </w:r>
            <w:r>
              <w:rPr>
                <w:color w:val="auto"/>
              </w:rPr>
              <w:t>分，扣完为止；每有一处有缺陷扣</w:t>
            </w:r>
            <w:r>
              <w:rPr>
                <w:rFonts w:hint="eastAsia"/>
                <w:color w:val="auto"/>
              </w:rPr>
              <w:t>2</w:t>
            </w:r>
            <w:r>
              <w:rPr>
                <w:color w:val="auto"/>
              </w:rPr>
              <w:t>分，扣完为止。（缺陷是指：存在内容前后不一致、描述不清、逻辑错误、凭空编造、与项目需求不相符、结合不紧密等情形）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color w:val="auto"/>
              </w:rPr>
              <w:t>应急处理方案</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left"/>
              <w:rPr>
                <w:color w:val="auto"/>
              </w:rPr>
            </w:pPr>
            <w:r>
              <w:rPr>
                <w:color w:val="auto"/>
              </w:rPr>
              <w:t>据</w:t>
            </w:r>
            <w:r>
              <w:rPr>
                <w:rFonts w:hint="eastAsia"/>
                <w:color w:val="auto"/>
              </w:rPr>
              <w:t>投标</w:t>
            </w:r>
            <w:r>
              <w:rPr>
                <w:color w:val="auto"/>
              </w:rPr>
              <w:t>商提供的应急处理方案进行评审，该方案应包含：①应急响应方案②应急措施及救援演练方案③停电应急方案④被困人员紧急救援方案。完整提供上述4项内容的得</w:t>
            </w:r>
            <w:r>
              <w:rPr>
                <w:rFonts w:hint="eastAsia"/>
                <w:color w:val="auto"/>
              </w:rPr>
              <w:t>18</w:t>
            </w:r>
            <w:r>
              <w:rPr>
                <w:color w:val="auto"/>
              </w:rPr>
              <w:t>分；每有一项未提供扣</w:t>
            </w:r>
            <w:r>
              <w:rPr>
                <w:rFonts w:hint="eastAsia"/>
                <w:color w:val="auto"/>
              </w:rPr>
              <w:t>4.5</w:t>
            </w:r>
            <w:r>
              <w:rPr>
                <w:color w:val="auto"/>
              </w:rPr>
              <w:t>分，扣完为止；每有一处有缺陷扣2.</w:t>
            </w:r>
            <w:r>
              <w:rPr>
                <w:rFonts w:hint="eastAsia"/>
                <w:color w:val="auto"/>
              </w:rPr>
              <w:t>25</w:t>
            </w:r>
            <w:r>
              <w:rPr>
                <w:color w:val="auto"/>
              </w:rPr>
              <w:t>分，扣完为止。（缺陷是指：存在内容前后不一致、描述不清、</w:t>
            </w:r>
            <w:r>
              <w:rPr>
                <w:rFonts w:hint="eastAsia"/>
                <w:color w:val="auto"/>
              </w:rPr>
              <w:t>逻辑错误、</w:t>
            </w:r>
            <w:r>
              <w:rPr>
                <w:color w:val="auto"/>
              </w:rPr>
              <w:t>凭空编造、与项目需求不相符</w:t>
            </w:r>
            <w:r>
              <w:rPr>
                <w:rFonts w:hint="eastAsia"/>
                <w:color w:val="auto"/>
              </w:rPr>
              <w:t>；结合不紧密</w:t>
            </w:r>
            <w:r>
              <w:rPr>
                <w:color w:val="auto"/>
              </w:rPr>
              <w:t>等情形）。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95" w:type="dxa"/>
            <w:tcBorders>
              <w:top w:val="outset" w:color="auto" w:sz="6" w:space="0"/>
              <w:left w:val="outset" w:color="auto" w:sz="6" w:space="0"/>
              <w:bottom w:val="outset" w:color="auto" w:sz="6" w:space="0"/>
              <w:right w:val="outset" w:color="auto" w:sz="6" w:space="0"/>
            </w:tcBorders>
            <w:noWrap w:val="0"/>
            <w:vAlign w:val="center"/>
          </w:tcPr>
          <w:p>
            <w:pPr>
              <w:widowControl/>
              <w:rPr>
                <w:rFonts w:ascii="宋体" w:hAnsi="宋体" w:cs="宋体"/>
                <w:color w:val="auto"/>
                <w:kern w:val="0"/>
                <w:szCs w:val="21"/>
              </w:rPr>
            </w:pPr>
            <w:r>
              <w:rPr>
                <w:rFonts w:hint="eastAsia" w:ascii="宋体" w:hAnsi="宋体" w:cs="宋体"/>
                <w:color w:val="auto"/>
                <w:kern w:val="0"/>
                <w:szCs w:val="21"/>
              </w:rPr>
              <w:t>5</w:t>
            </w:r>
          </w:p>
        </w:tc>
        <w:tc>
          <w:tcPr>
            <w:tcW w:w="135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业绩</w:t>
            </w:r>
          </w:p>
        </w:tc>
        <w:tc>
          <w:tcPr>
            <w:tcW w:w="7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10</w:t>
            </w:r>
          </w:p>
        </w:tc>
        <w:tc>
          <w:tcPr>
            <w:tcW w:w="573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cs="宋体"/>
                <w:color w:val="auto"/>
                <w:kern w:val="0"/>
                <w:szCs w:val="21"/>
              </w:rPr>
            </w:pPr>
            <w:r>
              <w:rPr>
                <w:rFonts w:hint="eastAsia"/>
                <w:color w:val="auto"/>
              </w:rPr>
              <w:t>投标</w:t>
            </w:r>
            <w:r>
              <w:rPr>
                <w:color w:val="auto"/>
              </w:rPr>
              <w:t>商（202</w:t>
            </w:r>
            <w:r>
              <w:rPr>
                <w:rFonts w:hint="eastAsia"/>
                <w:color w:val="auto"/>
              </w:rPr>
              <w:t>1</w:t>
            </w:r>
            <w:r>
              <w:rPr>
                <w:color w:val="auto"/>
              </w:rPr>
              <w:t>年1月1日（含）至递交响应文件截止日）具有</w:t>
            </w:r>
            <w:r>
              <w:rPr>
                <w:rFonts w:hint="eastAsia"/>
                <w:color w:val="auto"/>
              </w:rPr>
              <w:t>电梯维保</w:t>
            </w:r>
            <w:r>
              <w:rPr>
                <w:color w:val="auto"/>
              </w:rPr>
              <w:t>项目履约业绩的，每提供1个得</w:t>
            </w:r>
            <w:r>
              <w:rPr>
                <w:rFonts w:hint="eastAsia"/>
                <w:color w:val="auto"/>
              </w:rPr>
              <w:t>2</w:t>
            </w:r>
            <w:r>
              <w:rPr>
                <w:color w:val="auto"/>
              </w:rPr>
              <w:t>分，本项最多得10分。 注：需提供合同复印件或中标（成交）通知书复印件</w:t>
            </w:r>
            <w:r>
              <w:rPr>
                <w:rFonts w:hint="eastAsia"/>
                <w:color w:val="auto"/>
              </w:rPr>
              <w:t>。须加盖公章。</w:t>
            </w:r>
          </w:p>
        </w:tc>
      </w:tr>
    </w:tbl>
    <w:p>
      <w:pPr>
        <w:rPr>
          <w:rFonts w:hint="eastAsia"/>
          <w:color w:val="auto"/>
          <w:sz w:val="24"/>
          <w:szCs w:val="24"/>
        </w:rPr>
      </w:pPr>
    </w:p>
    <w:p>
      <w:pPr>
        <w:rPr>
          <w:rFonts w:hint="eastAsia"/>
          <w:color w:val="auto"/>
          <w:sz w:val="24"/>
          <w:szCs w:val="24"/>
        </w:rPr>
      </w:pPr>
    </w:p>
    <w:p>
      <w:pPr>
        <w:widowControl/>
        <w:spacing w:line="360" w:lineRule="auto"/>
        <w:jc w:val="center"/>
        <w:rPr>
          <w:rFonts w:ascii="仿宋" w:hAnsi="仿宋" w:eastAsia="仿宋" w:cs="仿宋"/>
          <w:b/>
          <w:sz w:val="28"/>
          <w:szCs w:val="28"/>
        </w:rPr>
      </w:pPr>
    </w:p>
    <w:p>
      <w:pPr>
        <w:widowControl/>
        <w:spacing w:line="360" w:lineRule="auto"/>
        <w:jc w:val="center"/>
        <w:rPr>
          <w:rFonts w:ascii="仿宋" w:hAnsi="仿宋" w:eastAsia="仿宋" w:cs="仿宋"/>
          <w:b/>
          <w:sz w:val="28"/>
          <w:szCs w:val="28"/>
        </w:rPr>
      </w:pPr>
      <w:r>
        <w:rPr>
          <w:rFonts w:hint="eastAsia" w:ascii="仿宋" w:hAnsi="仿宋" w:eastAsia="仿宋" w:cs="仿宋"/>
          <w:b/>
          <w:sz w:val="28"/>
          <w:szCs w:val="28"/>
        </w:rPr>
        <w:t>第四部分：响应文件要求及格式</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正本一份，副本三份，密封</w:t>
      </w:r>
    </w:p>
    <w:p>
      <w:pPr>
        <w:spacing w:line="360" w:lineRule="auto"/>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3855720</wp:posOffset>
                </wp:positionH>
                <wp:positionV relativeFrom="paragraph">
                  <wp:posOffset>96520</wp:posOffset>
                </wp:positionV>
                <wp:extent cx="2259330" cy="471805"/>
                <wp:effectExtent l="4445" t="4445" r="22225" b="19050"/>
                <wp:wrapNone/>
                <wp:docPr id="3" name="文本框 3"/>
                <wp:cNvGraphicFramePr/>
                <a:graphic xmlns:a="http://schemas.openxmlformats.org/drawingml/2006/main">
                  <a:graphicData uri="http://schemas.microsoft.com/office/word/2010/wordprocessingShape">
                    <wps:wsp>
                      <wps:cNvSpPr txBox="1"/>
                      <wps:spPr>
                        <a:xfrm>
                          <a:off x="0" y="0"/>
                          <a:ext cx="1137285"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eastAsia="黑体"/>
                                <w:b/>
                                <w:sz w:val="48"/>
                                <w:szCs w:val="48"/>
                              </w:rPr>
                            </w:pPr>
                            <w:r>
                              <w:rPr>
                                <w:rFonts w:hint="eastAsia" w:ascii="黑体" w:hAnsi="宋体" w:eastAsia="黑体"/>
                                <w:b/>
                                <w:sz w:val="48"/>
                                <w:szCs w:val="48"/>
                              </w:rPr>
                              <w:t>正本或副本</w:t>
                            </w:r>
                          </w:p>
                        </w:txbxContent>
                      </wps:txbx>
                      <wps:bodyPr upright="1"/>
                    </wps:wsp>
                  </a:graphicData>
                </a:graphic>
              </wp:anchor>
            </w:drawing>
          </mc:Choice>
          <mc:Fallback>
            <w:pict>
              <v:shape id="_x0000_s1026" o:spid="_x0000_s1026" o:spt="202" type="#_x0000_t202" style="position:absolute;left:0pt;margin-left:303.6pt;margin-top:7.6pt;height:37.15pt;width:177.9pt;z-index:251661312;mso-width-relative:page;mso-height-relative:page;" fillcolor="#FFFFFF" filled="t" stroked="t" coordsize="21600,21600" o:gfxdata="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zLK6NgAAAAJAQAADwAAAAAAAAAB&#10;ACAAAAAiAAAAZHJzL2Rvd25yZXYueG1sUEsBAhQAFAAAAAgAh07iQFQ7HSMQAgAARAQAAA4AAAAA&#10;AAAAAQAgAAAAJwEAAGRycy9lMm9Eb2MueG1sUEsFBgAAAAAGAAYAWQEAAKkFAAAAAA==&#10;">
                <v:fill on="t" focussize="0,0"/>
                <v:stroke color="#000000" joinstyle="miter"/>
                <v:imagedata o:title=""/>
                <o:lock v:ext="edit" aspectratio="f"/>
                <v:textbox>
                  <w:txbxContent>
                    <w:p>
                      <w:pPr>
                        <w:rPr>
                          <w:rFonts w:ascii="黑体" w:eastAsia="黑体"/>
                          <w:b/>
                          <w:sz w:val="48"/>
                          <w:szCs w:val="48"/>
                        </w:rPr>
                      </w:pPr>
                      <w:r>
                        <w:rPr>
                          <w:rFonts w:hint="eastAsia" w:ascii="黑体" w:hAnsi="宋体" w:eastAsia="黑体"/>
                          <w:b/>
                          <w:sz w:val="48"/>
                          <w:szCs w:val="48"/>
                        </w:rPr>
                        <w:t>正本或副本</w:t>
                      </w:r>
                    </w:p>
                  </w:txbxContent>
                </v:textbox>
              </v:shape>
            </w:pict>
          </mc:Fallback>
        </mc:AlternateContent>
      </w:r>
    </w:p>
    <w:p>
      <w:pPr>
        <w:spacing w:line="360" w:lineRule="auto"/>
        <w:rPr>
          <w:rFonts w:ascii="仿宋" w:hAnsi="仿宋" w:eastAsia="仿宋" w:cs="仿宋"/>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响应文件</w:t>
      </w:r>
    </w:p>
    <w:p>
      <w:pPr>
        <w:spacing w:line="360" w:lineRule="auto"/>
        <w:rPr>
          <w:rFonts w:ascii="仿宋" w:hAnsi="仿宋" w:eastAsia="仿宋" w:cs="仿宋"/>
          <w:b/>
          <w:sz w:val="28"/>
          <w:szCs w:val="28"/>
        </w:rPr>
      </w:pPr>
      <w:r>
        <w:rPr>
          <w:rFonts w:hint="eastAsia" w:ascii="仿宋" w:hAnsi="仿宋" w:eastAsia="仿宋" w:cs="仿宋"/>
          <w:b/>
          <w:sz w:val="28"/>
          <w:szCs w:val="28"/>
        </w:rPr>
        <w:t>采购人：绵阳市中医医院</w:t>
      </w:r>
    </w:p>
    <w:p>
      <w:pPr>
        <w:tabs>
          <w:tab w:val="left" w:pos="5433"/>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投标项目编号：</w:t>
      </w:r>
    </w:p>
    <w:p>
      <w:pPr>
        <w:tabs>
          <w:tab w:val="left" w:pos="5433"/>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投标项目名称：</w:t>
      </w:r>
    </w:p>
    <w:p>
      <w:pPr>
        <w:spacing w:line="360" w:lineRule="auto"/>
        <w:rPr>
          <w:rFonts w:ascii="仿宋" w:hAnsi="仿宋" w:eastAsia="仿宋" w:cs="仿宋"/>
          <w:b/>
          <w:bCs/>
          <w:sz w:val="28"/>
          <w:szCs w:val="28"/>
          <w:u w:val="single"/>
        </w:rPr>
      </w:pPr>
      <w:r>
        <w:rPr>
          <w:rFonts w:hint="eastAsia" w:ascii="仿宋" w:hAnsi="仿宋" w:eastAsia="仿宋" w:cs="仿宋"/>
          <w:b/>
          <w:bCs/>
          <w:sz w:val="28"/>
          <w:szCs w:val="28"/>
        </w:rPr>
        <w:t>供应商名称：</w:t>
      </w:r>
    </w:p>
    <w:p>
      <w:pPr>
        <w:spacing w:line="360" w:lineRule="auto"/>
        <w:rPr>
          <w:rFonts w:ascii="仿宋" w:hAnsi="仿宋" w:eastAsia="仿宋" w:cs="仿宋"/>
          <w:b/>
          <w:bCs/>
          <w:sz w:val="28"/>
          <w:szCs w:val="28"/>
        </w:rPr>
      </w:pPr>
      <w:r>
        <w:rPr>
          <w:rFonts w:hint="eastAsia" w:ascii="仿宋" w:hAnsi="仿宋" w:eastAsia="仿宋" w:cs="仿宋"/>
          <w:b/>
          <w:bCs/>
          <w:color w:val="000000"/>
          <w:spacing w:val="8"/>
          <w:sz w:val="28"/>
          <w:szCs w:val="28"/>
        </w:rPr>
        <w:t>法定代表人或授权代表（签字）</w:t>
      </w:r>
    </w:p>
    <w:p>
      <w:pPr>
        <w:spacing w:line="360" w:lineRule="auto"/>
        <w:rPr>
          <w:rFonts w:ascii="仿宋" w:hAnsi="仿宋" w:eastAsia="仿宋" w:cs="仿宋"/>
          <w:sz w:val="28"/>
          <w:szCs w:val="28"/>
        </w:rPr>
      </w:pPr>
      <w:r>
        <w:rPr>
          <w:rFonts w:hint="eastAsia" w:ascii="仿宋" w:hAnsi="仿宋" w:eastAsia="仿宋" w:cs="仿宋"/>
          <w:b/>
          <w:bCs/>
          <w:sz w:val="28"/>
          <w:szCs w:val="28"/>
        </w:rPr>
        <w:t>投标日期：年月日</w:t>
      </w:r>
    </w:p>
    <w:p>
      <w:pPr>
        <w:spacing w:line="360" w:lineRule="auto"/>
        <w:rPr>
          <w:rFonts w:ascii="仿宋" w:hAnsi="仿宋" w:eastAsia="仿宋" w:cs="仿宋"/>
          <w:sz w:val="28"/>
          <w:szCs w:val="28"/>
        </w:rPr>
      </w:pPr>
      <w:r>
        <w:rPr>
          <w:rFonts w:hint="eastAsia" w:ascii="仿宋" w:hAnsi="仿宋" w:eastAsia="仿宋" w:cs="仿宋"/>
          <w:b/>
          <w:bCs/>
          <w:sz w:val="28"/>
          <w:szCs w:val="28"/>
        </w:rPr>
        <w:t>联系电话：</w:t>
      </w:r>
    </w:p>
    <w:p>
      <w:pPr>
        <w:spacing w:line="360" w:lineRule="auto"/>
        <w:jc w:val="center"/>
        <w:rPr>
          <w:rFonts w:ascii="仿宋" w:hAnsi="仿宋" w:eastAsia="仿宋" w:cs="仿宋"/>
          <w:sz w:val="28"/>
          <w:szCs w:val="28"/>
        </w:rPr>
        <w:sectPr>
          <w:headerReference r:id="rId4" w:type="default"/>
          <w:footerReference r:id="rId5" w:type="default"/>
          <w:pgSz w:w="11907" w:h="16839"/>
          <w:pgMar w:top="1440" w:right="1800" w:bottom="1440" w:left="1800" w:header="851" w:footer="992" w:gutter="0"/>
          <w:cols w:space="720" w:num="1"/>
          <w:docGrid w:type="lines" w:linePitch="312" w:charSpace="0"/>
        </w:sectPr>
      </w:pPr>
      <w:r>
        <w:rPr>
          <w:rFonts w:hint="eastAsia" w:ascii="仿宋" w:hAnsi="仿宋" w:eastAsia="仿宋" w:cs="仿宋"/>
          <w:b/>
          <w:color w:val="FF0000"/>
          <w:sz w:val="28"/>
          <w:szCs w:val="28"/>
        </w:rPr>
        <w:t>文件首页编制目录及页码一览</w:t>
      </w: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r>
        <w:rPr>
          <w:rFonts w:hint="eastAsia" w:ascii="仿宋" w:hAnsi="仿宋" w:eastAsia="仿宋" w:cs="仿宋"/>
          <w:b/>
          <w:szCs w:val="21"/>
        </w:rPr>
        <w:t>法定代表人身份证明</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供应商名称：</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单位性质：</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地址：</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成立时间：年月日</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经营期限：</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姓名：性别：年龄：职务：</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系（供应商名称）的法定代表人。</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特此证明。</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供应商名称：XXX（盖单位公章）</w:t>
      </w:r>
    </w:p>
    <w:p>
      <w:pPr>
        <w:spacing w:line="360" w:lineRule="exact"/>
        <w:ind w:firstLine="420" w:firstLineChars="200"/>
        <w:jc w:val="left"/>
        <w:rPr>
          <w:rFonts w:ascii="仿宋" w:hAnsi="仿宋" w:eastAsia="仿宋" w:cs="仿宋"/>
          <w:szCs w:val="21"/>
        </w:rPr>
      </w:pPr>
      <w:r>
        <w:rPr>
          <w:rFonts w:hint="eastAsia" w:ascii="仿宋" w:hAnsi="仿宋" w:eastAsia="仿宋" w:cs="仿宋"/>
          <w:szCs w:val="21"/>
        </w:rPr>
        <w:t>法定代表人（签字或加盖个人印章）：</w:t>
      </w:r>
    </w:p>
    <w:p>
      <w:pPr>
        <w:pStyle w:val="4"/>
        <w:spacing w:line="360" w:lineRule="exact"/>
        <w:jc w:val="left"/>
        <w:rPr>
          <w:rFonts w:ascii="仿宋" w:hAnsi="仿宋" w:eastAsia="仿宋" w:cs="仿宋"/>
          <w:szCs w:val="21"/>
        </w:rPr>
      </w:pPr>
      <w:r>
        <w:rPr>
          <w:rFonts w:hint="eastAsia" w:ascii="仿宋" w:hAnsi="仿宋" w:eastAsia="仿宋" w:cs="仿宋"/>
          <w:szCs w:val="21"/>
        </w:rPr>
        <w:t>日      期：XXX年XXX月XXX日</w:t>
      </w:r>
    </w:p>
    <w:p>
      <w:pPr>
        <w:pStyle w:val="4"/>
        <w:spacing w:line="360" w:lineRule="exact"/>
        <w:jc w:val="left"/>
        <w:rPr>
          <w:rFonts w:ascii="仿宋" w:hAnsi="仿宋" w:eastAsia="仿宋" w:cs="仿宋"/>
          <w:szCs w:val="21"/>
        </w:rPr>
      </w:pPr>
      <w:r>
        <w:rPr>
          <w:rFonts w:hint="eastAsia" w:ascii="仿宋" w:hAnsi="仿宋" w:eastAsia="仿宋" w:cs="仿宋"/>
          <w:szCs w:val="21"/>
        </w:rPr>
        <w:t>注：附法定代表人身份证复印件。</w:t>
      </w:r>
    </w:p>
    <w:p>
      <w:pPr>
        <w:pStyle w:val="4"/>
        <w:spacing w:line="360" w:lineRule="exact"/>
        <w:ind w:firstLine="0" w:firstLineChars="0"/>
        <w:rPr>
          <w:rFonts w:ascii="仿宋" w:hAnsi="仿宋" w:eastAsia="仿宋" w:cs="仿宋"/>
          <w:szCs w:val="21"/>
        </w:rPr>
      </w:pPr>
    </w:p>
    <w:p>
      <w:pPr>
        <w:spacing w:line="360" w:lineRule="exact"/>
        <w:jc w:val="center"/>
        <w:rPr>
          <w:rFonts w:ascii="仿宋" w:hAnsi="仿宋" w:eastAsia="仿宋" w:cs="仿宋"/>
          <w:b/>
          <w:szCs w:val="21"/>
        </w:rPr>
      </w:pPr>
    </w:p>
    <w:p>
      <w:pPr>
        <w:spacing w:line="360" w:lineRule="exact"/>
        <w:jc w:val="center"/>
        <w:rPr>
          <w:rFonts w:ascii="仿宋" w:hAnsi="仿宋" w:eastAsia="仿宋" w:cs="仿宋"/>
          <w:b/>
          <w:szCs w:val="21"/>
        </w:rPr>
      </w:pPr>
    </w:p>
    <w:p>
      <w:pPr>
        <w:spacing w:line="360" w:lineRule="exact"/>
        <w:jc w:val="center"/>
        <w:rPr>
          <w:rFonts w:ascii="仿宋" w:hAnsi="仿宋" w:eastAsia="仿宋" w:cs="仿宋"/>
          <w:b/>
          <w:szCs w:val="21"/>
        </w:rPr>
      </w:pPr>
    </w:p>
    <w:p>
      <w:pPr>
        <w:spacing w:line="360" w:lineRule="exact"/>
        <w:jc w:val="center"/>
        <w:rPr>
          <w:rFonts w:ascii="仿宋" w:hAnsi="仿宋" w:eastAsia="仿宋" w:cs="仿宋"/>
          <w:b/>
          <w:szCs w:val="21"/>
        </w:rPr>
      </w:pPr>
      <w:r>
        <w:rPr>
          <w:rFonts w:hint="eastAsia" w:ascii="仿宋" w:hAnsi="仿宋" w:eastAsia="仿宋" w:cs="仿宋"/>
          <w:b/>
          <w:szCs w:val="21"/>
        </w:rPr>
        <w:t>授权委托书</w:t>
      </w:r>
    </w:p>
    <w:p>
      <w:pPr>
        <w:spacing w:line="360" w:lineRule="exact"/>
        <w:ind w:firstLine="420" w:firstLineChars="200"/>
        <w:rPr>
          <w:rFonts w:ascii="仿宋" w:hAnsi="仿宋" w:eastAsia="仿宋" w:cs="仿宋"/>
          <w:szCs w:val="21"/>
        </w:rPr>
      </w:pPr>
      <w:r>
        <w:rPr>
          <w:rFonts w:hint="eastAsia" w:ascii="仿宋" w:hAnsi="仿宋" w:eastAsia="仿宋" w:cs="仿宋"/>
          <w:szCs w:val="21"/>
        </w:rPr>
        <w:t>（姓名）本人（身份证号码：）系（供应商名称）的法定代表人，现委托（姓名）（身份证号码：）为我方代理人。代理人根据授权，以我方名义签署、澄清、说明、补正、递交、撤回、修改（项目名称）响应申请文件、签订合同和处理有关事宜，其法律后果由我方承担。</w:t>
      </w:r>
    </w:p>
    <w:p>
      <w:pPr>
        <w:spacing w:line="360" w:lineRule="exact"/>
        <w:rPr>
          <w:rFonts w:ascii="仿宋" w:hAnsi="仿宋" w:eastAsia="仿宋" w:cs="仿宋"/>
          <w:szCs w:val="21"/>
        </w:rPr>
      </w:pPr>
      <w:r>
        <w:rPr>
          <w:rFonts w:hint="eastAsia" w:ascii="仿宋" w:hAnsi="仿宋" w:eastAsia="仿宋" w:cs="仿宋"/>
          <w:szCs w:val="21"/>
        </w:rPr>
        <w:t>委托期限：。</w:t>
      </w:r>
    </w:p>
    <w:p>
      <w:pPr>
        <w:spacing w:line="360" w:lineRule="exact"/>
        <w:rPr>
          <w:rFonts w:ascii="仿宋" w:hAnsi="仿宋" w:eastAsia="仿宋" w:cs="仿宋"/>
          <w:szCs w:val="21"/>
        </w:rPr>
      </w:pPr>
      <w:r>
        <w:rPr>
          <w:rFonts w:hint="eastAsia" w:ascii="仿宋" w:hAnsi="仿宋" w:eastAsia="仿宋" w:cs="仿宋"/>
          <w:szCs w:val="21"/>
        </w:rPr>
        <w:t>代理人无转委托权。</w:t>
      </w:r>
    </w:p>
    <w:p>
      <w:pPr>
        <w:spacing w:line="360" w:lineRule="exact"/>
        <w:jc w:val="left"/>
        <w:rPr>
          <w:rFonts w:ascii="仿宋" w:hAnsi="仿宋" w:eastAsia="仿宋" w:cs="仿宋"/>
          <w:szCs w:val="21"/>
        </w:rPr>
      </w:pPr>
      <w:r>
        <w:rPr>
          <w:rFonts w:hint="eastAsia" w:ascii="仿宋" w:hAnsi="仿宋" w:eastAsia="仿宋" w:cs="仿宋"/>
          <w:szCs w:val="21"/>
        </w:rPr>
        <w:t>供应商名称：XXX（盖单位公章）：</w:t>
      </w:r>
    </w:p>
    <w:p>
      <w:pPr>
        <w:spacing w:line="360" w:lineRule="exact"/>
        <w:rPr>
          <w:rFonts w:ascii="仿宋" w:hAnsi="仿宋" w:eastAsia="仿宋" w:cs="仿宋"/>
          <w:szCs w:val="21"/>
        </w:rPr>
      </w:pPr>
      <w:r>
        <w:rPr>
          <w:rFonts w:hint="eastAsia" w:ascii="仿宋" w:hAnsi="仿宋" w:eastAsia="仿宋" w:cs="仿宋"/>
          <w:szCs w:val="21"/>
        </w:rPr>
        <w:t>法定代表人（签字）：</w:t>
      </w:r>
    </w:p>
    <w:p>
      <w:pPr>
        <w:spacing w:line="360" w:lineRule="exact"/>
        <w:rPr>
          <w:rFonts w:ascii="仿宋" w:hAnsi="仿宋" w:eastAsia="仿宋" w:cs="仿宋"/>
          <w:szCs w:val="21"/>
        </w:rPr>
      </w:pPr>
      <w:r>
        <w:rPr>
          <w:rFonts w:hint="eastAsia" w:ascii="仿宋" w:hAnsi="仿宋" w:eastAsia="仿宋" w:cs="仿宋"/>
          <w:szCs w:val="21"/>
        </w:rPr>
        <w:t>委托代理人（签字）：</w:t>
      </w:r>
    </w:p>
    <w:p>
      <w:pPr>
        <w:spacing w:line="360" w:lineRule="exact"/>
        <w:rPr>
          <w:rFonts w:ascii="仿宋" w:hAnsi="仿宋" w:eastAsia="仿宋" w:cs="仿宋"/>
          <w:szCs w:val="21"/>
        </w:rPr>
      </w:pPr>
      <w:r>
        <w:rPr>
          <w:rFonts w:hint="eastAsia" w:ascii="仿宋" w:hAnsi="仿宋" w:eastAsia="仿宋" w:cs="仿宋"/>
          <w:szCs w:val="21"/>
        </w:rPr>
        <w:t>日期：年月日</w:t>
      </w:r>
    </w:p>
    <w:p>
      <w:pPr>
        <w:spacing w:line="360" w:lineRule="exact"/>
        <w:rPr>
          <w:rFonts w:ascii="仿宋" w:hAnsi="仿宋" w:eastAsia="仿宋" w:cs="仿宋"/>
          <w:szCs w:val="21"/>
        </w:rPr>
      </w:pPr>
      <w:r>
        <w:rPr>
          <w:rFonts w:hint="eastAsia" w:ascii="仿宋" w:hAnsi="仿宋" w:eastAsia="仿宋" w:cs="仿宋"/>
          <w:szCs w:val="21"/>
        </w:rPr>
        <w:t>注：1.如由法定代表人签署响应文件时，无需提供本授权委托书；</w:t>
      </w:r>
    </w:p>
    <w:p>
      <w:pPr>
        <w:pStyle w:val="6"/>
        <w:spacing w:line="360" w:lineRule="exact"/>
        <w:ind w:firstLine="422" w:firstLineChars="200"/>
        <w:rPr>
          <w:rFonts w:ascii="仿宋" w:hAnsi="仿宋" w:eastAsia="仿宋" w:cs="仿宋"/>
          <w:sz w:val="21"/>
          <w:szCs w:val="21"/>
        </w:rPr>
      </w:pPr>
      <w:r>
        <w:rPr>
          <w:rFonts w:hint="eastAsia" w:ascii="仿宋" w:hAnsi="仿宋" w:eastAsia="仿宋" w:cs="仿宋"/>
          <w:sz w:val="21"/>
          <w:szCs w:val="21"/>
        </w:rPr>
        <w:t>2.附法定代表人和委托代理人身份证复印件。</w:t>
      </w: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p>
    <w:p>
      <w:pPr>
        <w:spacing w:line="360" w:lineRule="auto"/>
        <w:jc w:val="center"/>
        <w:rPr>
          <w:rFonts w:ascii="仿宋" w:hAnsi="仿宋" w:eastAsia="仿宋" w:cs="仿宋"/>
          <w:b/>
          <w:szCs w:val="21"/>
        </w:rPr>
      </w:pPr>
      <w:r>
        <w:rPr>
          <w:rFonts w:hint="eastAsia" w:ascii="仿宋" w:hAnsi="仿宋" w:eastAsia="仿宋" w:cs="仿宋"/>
          <w:b/>
          <w:szCs w:val="21"/>
        </w:rPr>
        <w:t>投标产品技术要求响应表</w:t>
      </w:r>
    </w:p>
    <w:p>
      <w:pPr>
        <w:spacing w:line="360" w:lineRule="auto"/>
        <w:jc w:val="left"/>
        <w:rPr>
          <w:rFonts w:ascii="仿宋" w:hAnsi="仿宋" w:eastAsia="仿宋" w:cs="仿宋"/>
          <w:bCs/>
          <w:szCs w:val="21"/>
        </w:rPr>
      </w:pPr>
      <w:r>
        <w:rPr>
          <w:rFonts w:hint="eastAsia" w:ascii="仿宋" w:hAnsi="仿宋" w:eastAsia="仿宋" w:cs="仿宋"/>
          <w:bCs/>
          <w:szCs w:val="21"/>
        </w:rPr>
        <w:t>项目编号：</w:t>
      </w:r>
    </w:p>
    <w:p>
      <w:pPr>
        <w:spacing w:line="360" w:lineRule="auto"/>
        <w:jc w:val="left"/>
        <w:rPr>
          <w:rFonts w:ascii="仿宋" w:hAnsi="仿宋" w:eastAsia="仿宋" w:cs="仿宋"/>
          <w:bCs/>
          <w:szCs w:val="21"/>
        </w:rPr>
      </w:pPr>
      <w:r>
        <w:rPr>
          <w:rFonts w:hint="eastAsia" w:ascii="仿宋" w:hAnsi="仿宋" w:eastAsia="仿宋" w:cs="仿宋"/>
          <w:bCs/>
          <w:szCs w:val="21"/>
        </w:rPr>
        <w:t>项目名称：</w:t>
      </w:r>
    </w:p>
    <w:tbl>
      <w:tblPr>
        <w:tblStyle w:val="21"/>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482"/>
        <w:gridCol w:w="1260"/>
        <w:gridCol w:w="1560"/>
        <w:gridCol w:w="2160"/>
        <w:gridCol w:w="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序号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项目名称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招标文件</w:t>
            </w:r>
          </w:p>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要求</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投标产品品牌、型号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投标产品配置</w:t>
            </w:r>
          </w:p>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和技术指标、参数</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正/负</w:t>
            </w:r>
          </w:p>
          <w:p>
            <w:pPr>
              <w:spacing w:line="360" w:lineRule="auto"/>
              <w:ind w:firstLine="113" w:firstLineChars="50"/>
              <w:rPr>
                <w:rFonts w:ascii="仿宋" w:hAnsi="仿宋" w:eastAsia="仿宋" w:cs="仿宋"/>
                <w:color w:val="000000"/>
                <w:szCs w:val="21"/>
              </w:rPr>
            </w:pPr>
            <w:r>
              <w:rPr>
                <w:rFonts w:hint="eastAsia" w:ascii="仿宋" w:hAnsi="仿宋" w:eastAsia="仿宋" w:cs="仿宋"/>
                <w:bCs/>
                <w:color w:val="000000"/>
                <w:spacing w:val="8"/>
                <w:szCs w:val="21"/>
              </w:rPr>
              <w:t>偏离</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2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48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5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88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2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48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5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88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72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48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5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88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000000"/>
                <w:szCs w:val="21"/>
              </w:rPr>
            </w:pPr>
          </w:p>
        </w:tc>
      </w:tr>
    </w:tbl>
    <w:p>
      <w:pPr>
        <w:adjustRightInd w:val="0"/>
        <w:spacing w:line="360" w:lineRule="auto"/>
        <w:rPr>
          <w:rFonts w:ascii="仿宋" w:hAnsi="仿宋" w:eastAsia="仿宋" w:cs="仿宋"/>
          <w:szCs w:val="21"/>
        </w:rPr>
      </w:pPr>
      <w:r>
        <w:rPr>
          <w:rFonts w:hint="eastAsia" w:ascii="仿宋" w:hAnsi="仿宋" w:eastAsia="仿宋" w:cs="仿宋"/>
          <w:bCs/>
          <w:color w:val="000000"/>
          <w:spacing w:val="8"/>
          <w:szCs w:val="21"/>
        </w:rPr>
        <w:t>注：</w:t>
      </w:r>
      <w:r>
        <w:rPr>
          <w:rFonts w:hint="eastAsia" w:ascii="仿宋" w:hAnsi="仿宋" w:eastAsia="仿宋" w:cs="仿宋"/>
          <w:szCs w:val="21"/>
        </w:rPr>
        <w:t>1.以上表格格式行、列可增减。</w:t>
      </w:r>
    </w:p>
    <w:p>
      <w:pPr>
        <w:adjustRightInd w:val="0"/>
        <w:spacing w:line="480" w:lineRule="exact"/>
        <w:ind w:firstLine="452" w:firstLineChars="200"/>
        <w:rPr>
          <w:rFonts w:ascii="仿宋" w:hAnsi="仿宋" w:eastAsia="仿宋" w:cs="仿宋"/>
          <w:color w:val="000000"/>
          <w:szCs w:val="21"/>
        </w:rPr>
      </w:pPr>
      <w:r>
        <w:rPr>
          <w:rFonts w:hint="eastAsia" w:ascii="仿宋" w:hAnsi="仿宋" w:eastAsia="仿宋" w:cs="仿宋"/>
          <w:bCs/>
          <w:color w:val="000000"/>
          <w:spacing w:val="8"/>
          <w:szCs w:val="21"/>
        </w:rPr>
        <w:t>供应商按照招标文件要求做出的技术应答，</w:t>
      </w:r>
      <w:r>
        <w:rPr>
          <w:rFonts w:hint="eastAsia" w:ascii="仿宋" w:hAnsi="仿宋" w:eastAsia="仿宋" w:cs="仿宋"/>
          <w:color w:val="000000"/>
          <w:szCs w:val="21"/>
        </w:rPr>
        <w:t>投标产品本身的详细的技术指标和参数,技术参数差异偏离情况等。</w:t>
      </w:r>
    </w:p>
    <w:p>
      <w:pPr>
        <w:adjustRightInd w:val="0"/>
        <w:spacing w:line="360" w:lineRule="auto"/>
        <w:ind w:firstLine="452" w:firstLineChars="200"/>
        <w:rPr>
          <w:rFonts w:ascii="仿宋" w:hAnsi="仿宋" w:eastAsia="仿宋" w:cs="仿宋"/>
          <w:bCs/>
          <w:color w:val="000000"/>
          <w:spacing w:val="8"/>
          <w:szCs w:val="21"/>
        </w:rPr>
      </w:pPr>
      <w:r>
        <w:rPr>
          <w:rFonts w:hint="eastAsia" w:ascii="仿宋" w:hAnsi="仿宋" w:eastAsia="仿宋" w:cs="仿宋"/>
          <w:bCs/>
          <w:color w:val="000000"/>
          <w:spacing w:val="8"/>
          <w:szCs w:val="21"/>
        </w:rPr>
        <w:t>3.供应商按照招标文件</w:t>
      </w:r>
      <w:r>
        <w:rPr>
          <w:rFonts w:hint="eastAsia" w:ascii="仿宋" w:hAnsi="仿宋" w:eastAsia="仿宋" w:cs="仿宋"/>
          <w:szCs w:val="21"/>
        </w:rPr>
        <w:t>要求逐条填写此表</w:t>
      </w:r>
      <w:r>
        <w:rPr>
          <w:rFonts w:hint="eastAsia" w:ascii="仿宋" w:hAnsi="仿宋" w:eastAsia="仿宋" w:cs="仿宋"/>
          <w:bCs/>
          <w:color w:val="000000"/>
          <w:spacing w:val="8"/>
          <w:szCs w:val="21"/>
        </w:rPr>
        <w:t>，注明正、负或无偏离。</w:t>
      </w:r>
    </w:p>
    <w:p>
      <w:pPr>
        <w:spacing w:line="360" w:lineRule="auto"/>
        <w:ind w:firstLine="452" w:firstLineChars="200"/>
        <w:jc w:val="left"/>
        <w:rPr>
          <w:rFonts w:ascii="仿宋" w:hAnsi="仿宋" w:eastAsia="仿宋" w:cs="仿宋"/>
          <w:szCs w:val="21"/>
        </w:rPr>
      </w:pPr>
      <w:r>
        <w:rPr>
          <w:rFonts w:hint="eastAsia" w:ascii="仿宋" w:hAnsi="仿宋" w:eastAsia="仿宋" w:cs="仿宋"/>
          <w:bCs/>
          <w:color w:val="000000"/>
          <w:spacing w:val="8"/>
          <w:szCs w:val="21"/>
        </w:rPr>
        <w:t>4.供应商必须据实填写，不得虚假响应，否则将取消其投标或中标资格等。</w:t>
      </w:r>
    </w:p>
    <w:p>
      <w:pPr>
        <w:spacing w:line="360" w:lineRule="auto"/>
        <w:jc w:val="left"/>
        <w:rPr>
          <w:rFonts w:ascii="仿宋" w:hAnsi="仿宋" w:eastAsia="仿宋" w:cs="仿宋"/>
          <w:szCs w:val="21"/>
        </w:rPr>
      </w:pPr>
      <w:r>
        <w:rPr>
          <w:rFonts w:hint="eastAsia" w:ascii="仿宋" w:hAnsi="仿宋" w:eastAsia="仿宋" w:cs="仿宋"/>
          <w:szCs w:val="21"/>
        </w:rPr>
        <w:t>供应商名称：XXX（盖单位公章）</w:t>
      </w:r>
    </w:p>
    <w:p>
      <w:pPr>
        <w:spacing w:line="360" w:lineRule="auto"/>
        <w:jc w:val="left"/>
        <w:rPr>
          <w:rFonts w:ascii="仿宋" w:hAnsi="仿宋" w:eastAsia="仿宋" w:cs="仿宋"/>
          <w:szCs w:val="21"/>
        </w:rPr>
      </w:pPr>
      <w:r>
        <w:rPr>
          <w:rFonts w:hint="eastAsia" w:ascii="仿宋" w:hAnsi="仿宋" w:eastAsia="仿宋" w:cs="仿宋"/>
          <w:szCs w:val="21"/>
        </w:rPr>
        <w:t>法定代表人/单位负责人或授权代表（签字或加盖个人印章）：</w:t>
      </w:r>
    </w:p>
    <w:p>
      <w:pPr>
        <w:pStyle w:val="4"/>
        <w:spacing w:line="360" w:lineRule="auto"/>
        <w:ind w:firstLine="0" w:firstLineChars="0"/>
        <w:rPr>
          <w:rFonts w:ascii="仿宋" w:hAnsi="仿宋" w:eastAsia="仿宋" w:cs="仿宋"/>
          <w:szCs w:val="21"/>
        </w:rPr>
      </w:pPr>
      <w:r>
        <w:rPr>
          <w:rFonts w:hint="eastAsia" w:ascii="仿宋" w:hAnsi="仿宋" w:eastAsia="仿宋" w:cs="仿宋"/>
          <w:szCs w:val="21"/>
        </w:rPr>
        <w:t>日      期：XXX年XXX月XXX日</w:t>
      </w:r>
    </w:p>
    <w:p>
      <w:pPr>
        <w:pStyle w:val="5"/>
        <w:numPr>
          <w:ilvl w:val="2"/>
          <w:numId w:val="0"/>
        </w:numPr>
        <w:spacing w:line="360" w:lineRule="auto"/>
        <w:jc w:val="center"/>
        <w:rPr>
          <w:rFonts w:ascii="仿宋" w:hAnsi="仿宋" w:eastAsia="仿宋" w:cs="仿宋"/>
          <w:bCs w:val="0"/>
          <w:sz w:val="21"/>
          <w:szCs w:val="21"/>
        </w:rPr>
      </w:pPr>
      <w:r>
        <w:rPr>
          <w:rFonts w:hint="eastAsia" w:ascii="仿宋" w:hAnsi="仿宋" w:eastAsia="仿宋" w:cs="仿宋"/>
          <w:bCs w:val="0"/>
          <w:sz w:val="21"/>
          <w:szCs w:val="21"/>
        </w:rPr>
        <w:t>商务应答表</w:t>
      </w:r>
    </w:p>
    <w:p>
      <w:pPr>
        <w:rPr>
          <w:rFonts w:ascii="仿宋" w:hAnsi="仿宋" w:eastAsia="仿宋" w:cs="仿宋"/>
          <w:szCs w:val="21"/>
        </w:rPr>
      </w:pPr>
      <w:r>
        <w:rPr>
          <w:rFonts w:hint="eastAsia" w:ascii="仿宋" w:hAnsi="仿宋" w:eastAsia="仿宋" w:cs="仿宋"/>
          <w:szCs w:val="21"/>
        </w:rPr>
        <w:t>项目编号：</w:t>
      </w:r>
    </w:p>
    <w:p>
      <w:pPr>
        <w:widowControl/>
        <w:spacing w:line="360" w:lineRule="auto"/>
        <w:jc w:val="left"/>
        <w:rPr>
          <w:rFonts w:ascii="仿宋" w:hAnsi="仿宋" w:eastAsia="仿宋" w:cs="仿宋"/>
          <w:szCs w:val="21"/>
        </w:rPr>
      </w:pPr>
      <w:r>
        <w:rPr>
          <w:rFonts w:hint="eastAsia" w:ascii="仿宋" w:hAnsi="仿宋" w:eastAsia="仿宋" w:cs="仿宋"/>
          <w:szCs w:val="21"/>
        </w:rPr>
        <w:t>项目名称：</w:t>
      </w:r>
    </w:p>
    <w:tbl>
      <w:tblPr>
        <w:tblStyle w:val="21"/>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85"/>
        <w:gridCol w:w="2551"/>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szCs w:val="21"/>
              </w:rPr>
            </w:pPr>
            <w:r>
              <w:rPr>
                <w:rFonts w:hint="eastAsia" w:ascii="仿宋" w:hAnsi="仿宋" w:eastAsia="仿宋" w:cs="仿宋"/>
                <w:szCs w:val="21"/>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r>
              <w:rPr>
                <w:rFonts w:hint="eastAsia" w:ascii="仿宋" w:hAnsi="仿宋" w:eastAsia="仿宋" w:cs="仿宋"/>
                <w:szCs w:val="21"/>
              </w:rPr>
              <w:t>商务要求项</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r>
              <w:rPr>
                <w:rFonts w:hint="eastAsia" w:ascii="仿宋" w:hAnsi="仿宋" w:eastAsia="仿宋" w:cs="仿宋"/>
                <w:szCs w:val="21"/>
              </w:rPr>
              <w:t>具体要求</w:t>
            </w:r>
          </w:p>
        </w:tc>
        <w:tc>
          <w:tcPr>
            <w:tcW w:w="31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11" w:firstLineChars="196"/>
              <w:jc w:val="center"/>
              <w:rPr>
                <w:rFonts w:ascii="仿宋" w:hAnsi="仿宋" w:eastAsia="仿宋" w:cs="仿宋"/>
                <w:szCs w:val="21"/>
              </w:rPr>
            </w:pPr>
            <w:r>
              <w:rPr>
                <w:rFonts w:hint="eastAsia" w:ascii="仿宋" w:hAnsi="仿宋" w:eastAsia="仿宋" w:cs="仿宋"/>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3137" w:type="dxa"/>
            <w:tcBorders>
              <w:top w:val="single" w:color="auto" w:sz="4" w:space="0"/>
              <w:left w:val="single" w:color="auto" w:sz="4" w:space="0"/>
              <w:bottom w:val="single" w:color="auto" w:sz="4" w:space="0"/>
              <w:right w:val="single" w:color="auto" w:sz="4" w:space="0"/>
            </w:tcBorders>
          </w:tcPr>
          <w:p>
            <w:pPr>
              <w:widowControl/>
              <w:spacing w:line="360" w:lineRule="auto"/>
              <w:ind w:firstLine="411" w:firstLineChars="196"/>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8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3137" w:type="dxa"/>
            <w:tcBorders>
              <w:top w:val="single" w:color="auto" w:sz="4" w:space="0"/>
              <w:left w:val="single" w:color="auto" w:sz="4" w:space="0"/>
              <w:bottom w:val="single" w:color="auto" w:sz="4" w:space="0"/>
              <w:right w:val="single" w:color="auto" w:sz="4" w:space="0"/>
            </w:tcBorders>
          </w:tcPr>
          <w:p>
            <w:pPr>
              <w:widowControl/>
              <w:spacing w:line="360" w:lineRule="auto"/>
              <w:ind w:firstLine="411" w:firstLineChars="196"/>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8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rPr>
            </w:pPr>
          </w:p>
        </w:tc>
        <w:tc>
          <w:tcPr>
            <w:tcW w:w="3137" w:type="dxa"/>
            <w:tcBorders>
              <w:top w:val="single" w:color="auto" w:sz="4" w:space="0"/>
              <w:left w:val="single" w:color="auto" w:sz="4" w:space="0"/>
              <w:bottom w:val="single" w:color="auto" w:sz="4" w:space="0"/>
              <w:right w:val="single" w:color="auto" w:sz="4" w:space="0"/>
            </w:tcBorders>
          </w:tcPr>
          <w:p>
            <w:pPr>
              <w:widowControl/>
              <w:spacing w:line="360" w:lineRule="auto"/>
              <w:ind w:firstLine="411" w:firstLineChars="196"/>
              <w:jc w:val="left"/>
              <w:rPr>
                <w:rFonts w:ascii="仿宋" w:hAnsi="仿宋" w:eastAsia="仿宋" w:cs="仿宋"/>
                <w:szCs w:val="21"/>
              </w:rPr>
            </w:pPr>
          </w:p>
        </w:tc>
      </w:tr>
    </w:tbl>
    <w:p>
      <w:pPr>
        <w:widowControl/>
        <w:spacing w:line="360" w:lineRule="auto"/>
        <w:ind w:firstLine="411" w:firstLineChars="196"/>
        <w:jc w:val="left"/>
        <w:rPr>
          <w:rFonts w:ascii="仿宋" w:hAnsi="仿宋" w:eastAsia="仿宋" w:cs="仿宋"/>
          <w:strike/>
          <w:color w:val="0070C0"/>
          <w:szCs w:val="21"/>
        </w:rPr>
      </w:pPr>
      <w:r>
        <w:rPr>
          <w:rFonts w:hint="eastAsia" w:ascii="仿宋" w:hAnsi="仿宋" w:eastAsia="仿宋" w:cs="仿宋"/>
          <w:strike/>
          <w:color w:val="0070C0"/>
          <w:szCs w:val="21"/>
        </w:rPr>
        <w:t xml:space="preserve"> </w:t>
      </w:r>
    </w:p>
    <w:p>
      <w:pPr>
        <w:widowControl/>
        <w:spacing w:line="360" w:lineRule="auto"/>
        <w:jc w:val="left"/>
        <w:rPr>
          <w:rFonts w:ascii="仿宋" w:hAnsi="仿宋" w:eastAsia="仿宋" w:cs="仿宋"/>
          <w:szCs w:val="21"/>
        </w:rPr>
      </w:pPr>
      <w:r>
        <w:rPr>
          <w:rFonts w:hint="eastAsia" w:ascii="仿宋" w:hAnsi="仿宋" w:eastAsia="仿宋" w:cs="仿宋"/>
          <w:szCs w:val="21"/>
        </w:rPr>
        <w:t>注：1.以上表格格式行、列可增减。</w:t>
      </w:r>
    </w:p>
    <w:p>
      <w:pPr>
        <w:widowControl/>
        <w:spacing w:line="360" w:lineRule="auto"/>
        <w:ind w:firstLine="420" w:firstLineChars="200"/>
        <w:jc w:val="left"/>
        <w:rPr>
          <w:rFonts w:ascii="仿宋" w:hAnsi="仿宋" w:eastAsia="仿宋" w:cs="仿宋"/>
          <w:szCs w:val="21"/>
        </w:rPr>
      </w:pPr>
      <w:r>
        <w:rPr>
          <w:rFonts w:hint="eastAsia" w:ascii="仿宋" w:hAnsi="仿宋" w:eastAsia="仿宋" w:cs="仿宋"/>
          <w:szCs w:val="21"/>
        </w:rPr>
        <w:t>2.供应商根据采购项目的全部商务要求逐条填写此表，并按采购文件要求提供相应的证明材料。</w:t>
      </w:r>
    </w:p>
    <w:p>
      <w:pPr>
        <w:spacing w:line="360" w:lineRule="auto"/>
        <w:ind w:firstLine="452" w:firstLineChars="200"/>
        <w:rPr>
          <w:rFonts w:ascii="仿宋" w:hAnsi="仿宋" w:eastAsia="仿宋" w:cs="仿宋"/>
          <w:szCs w:val="21"/>
        </w:rPr>
      </w:pPr>
      <w:r>
        <w:rPr>
          <w:rFonts w:hint="eastAsia" w:ascii="仿宋" w:hAnsi="仿宋" w:eastAsia="仿宋" w:cs="仿宋"/>
          <w:bCs/>
          <w:color w:val="000000"/>
          <w:spacing w:val="8"/>
          <w:szCs w:val="21"/>
        </w:rPr>
        <w:t>3.供应商必须据实填写，不得虚假响应，否则将取消其投标或中标资格等。</w:t>
      </w:r>
    </w:p>
    <w:p>
      <w:pPr>
        <w:spacing w:line="360" w:lineRule="auto"/>
        <w:jc w:val="left"/>
        <w:rPr>
          <w:rFonts w:ascii="仿宋" w:hAnsi="仿宋" w:eastAsia="仿宋" w:cs="仿宋"/>
          <w:szCs w:val="21"/>
        </w:rPr>
      </w:pPr>
      <w:r>
        <w:rPr>
          <w:rFonts w:hint="eastAsia" w:ascii="仿宋" w:hAnsi="仿宋" w:eastAsia="仿宋" w:cs="仿宋"/>
          <w:szCs w:val="21"/>
        </w:rPr>
        <w:t>供应商名称：XXX（盖单位公章）</w:t>
      </w:r>
    </w:p>
    <w:p>
      <w:pPr>
        <w:spacing w:line="360" w:lineRule="auto"/>
        <w:jc w:val="left"/>
        <w:rPr>
          <w:rFonts w:ascii="仿宋" w:hAnsi="仿宋" w:eastAsia="仿宋" w:cs="仿宋"/>
          <w:szCs w:val="21"/>
        </w:rPr>
      </w:pPr>
      <w:r>
        <w:rPr>
          <w:rFonts w:hint="eastAsia" w:ascii="仿宋" w:hAnsi="仿宋" w:eastAsia="仿宋" w:cs="仿宋"/>
          <w:szCs w:val="21"/>
        </w:rPr>
        <w:t>法定代表人/单位负责人或授权代表（签字或加盖个人印章）：</w:t>
      </w:r>
    </w:p>
    <w:p>
      <w:pPr>
        <w:pStyle w:val="4"/>
        <w:spacing w:line="360" w:lineRule="auto"/>
        <w:ind w:firstLine="0" w:firstLineChars="0"/>
        <w:jc w:val="left"/>
        <w:rPr>
          <w:rFonts w:ascii="仿宋" w:hAnsi="仿宋" w:eastAsia="仿宋" w:cs="仿宋"/>
          <w:szCs w:val="21"/>
        </w:rPr>
      </w:pPr>
      <w:r>
        <w:rPr>
          <w:rFonts w:hint="eastAsia" w:ascii="仿宋" w:hAnsi="仿宋" w:eastAsia="仿宋" w:cs="仿宋"/>
          <w:szCs w:val="21"/>
        </w:rPr>
        <w:t>日      期：XXX年XXX月XXX日</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 xml:space="preserve"> 供应商类似项目业绩一览表</w:t>
      </w:r>
    </w:p>
    <w:p>
      <w:pPr>
        <w:widowControl/>
        <w:spacing w:line="360" w:lineRule="atLeast"/>
        <w:jc w:val="left"/>
        <w:outlineLvl w:val="1"/>
        <w:rPr>
          <w:rFonts w:ascii="仿宋" w:hAnsi="仿宋" w:eastAsia="仿宋" w:cs="仿宋"/>
          <w:szCs w:val="21"/>
        </w:rPr>
      </w:pPr>
      <w:r>
        <w:rPr>
          <w:rFonts w:hint="eastAsia" w:ascii="仿宋" w:hAnsi="仿宋" w:eastAsia="仿宋" w:cs="仿宋"/>
          <w:szCs w:val="21"/>
        </w:rPr>
        <w:t>项目名称：</w:t>
      </w:r>
    </w:p>
    <w:p>
      <w:pPr>
        <w:widowControl/>
        <w:spacing w:line="360" w:lineRule="atLeast"/>
        <w:jc w:val="left"/>
        <w:outlineLvl w:val="1"/>
        <w:rPr>
          <w:rFonts w:ascii="仿宋" w:hAnsi="仿宋" w:eastAsia="仿宋" w:cs="仿宋"/>
          <w:szCs w:val="21"/>
        </w:rPr>
      </w:pPr>
      <w:r>
        <w:rPr>
          <w:rFonts w:hint="eastAsia" w:ascii="仿宋" w:hAnsi="仿宋" w:eastAsia="仿宋" w:cs="仿宋"/>
          <w:szCs w:val="21"/>
        </w:rPr>
        <w:t>采购编号：</w:t>
      </w:r>
    </w:p>
    <w:tbl>
      <w:tblPr>
        <w:tblStyle w:val="21"/>
        <w:tblpPr w:leftFromText="180" w:rightFromText="180" w:vertAnchor="text" w:horzAnchor="page" w:tblpX="1476" w:tblpY="348"/>
        <w:tblOverlap w:val="never"/>
        <w:tblW w:w="905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21"/>
        <w:gridCol w:w="1614"/>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18" w:type="dxa"/>
            <w:tcBorders>
              <w:top w:val="single" w:color="auto" w:sz="4" w:space="0"/>
            </w:tcBorders>
            <w:vAlign w:val="center"/>
          </w:tcPr>
          <w:p>
            <w:pPr>
              <w:spacing w:line="400" w:lineRule="exact"/>
              <w:ind w:firstLine="105" w:firstLineChars="50"/>
              <w:jc w:val="center"/>
              <w:rPr>
                <w:rFonts w:ascii="仿宋" w:hAnsi="仿宋" w:eastAsia="仿宋" w:cs="仿宋"/>
                <w:szCs w:val="21"/>
              </w:rPr>
            </w:pPr>
            <w:r>
              <w:rPr>
                <w:rFonts w:hint="eastAsia" w:ascii="仿宋" w:hAnsi="仿宋" w:eastAsia="仿宋" w:cs="仿宋"/>
                <w:szCs w:val="21"/>
              </w:rPr>
              <w:t>年份</w:t>
            </w:r>
          </w:p>
        </w:tc>
        <w:tc>
          <w:tcPr>
            <w:tcW w:w="1439"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用户名称</w:t>
            </w:r>
          </w:p>
        </w:tc>
        <w:tc>
          <w:tcPr>
            <w:tcW w:w="1319"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合同名称</w:t>
            </w:r>
          </w:p>
        </w:tc>
        <w:tc>
          <w:tcPr>
            <w:tcW w:w="1160"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完成时间</w:t>
            </w:r>
          </w:p>
        </w:tc>
        <w:tc>
          <w:tcPr>
            <w:tcW w:w="1421" w:type="dxa"/>
            <w:vAlign w:val="center"/>
          </w:tcPr>
          <w:p>
            <w:pPr>
              <w:spacing w:line="400" w:lineRule="exact"/>
              <w:ind w:firstLine="105" w:firstLineChars="50"/>
              <w:jc w:val="center"/>
              <w:rPr>
                <w:rFonts w:ascii="仿宋" w:hAnsi="仿宋" w:eastAsia="仿宋" w:cs="仿宋"/>
                <w:szCs w:val="21"/>
              </w:rPr>
            </w:pPr>
            <w:r>
              <w:rPr>
                <w:rFonts w:hint="eastAsia" w:ascii="仿宋" w:hAnsi="仿宋" w:eastAsia="仿宋" w:cs="仿宋"/>
                <w:szCs w:val="21"/>
              </w:rPr>
              <w:t>合同金额</w:t>
            </w:r>
          </w:p>
        </w:tc>
        <w:tc>
          <w:tcPr>
            <w:tcW w:w="1614" w:type="dxa"/>
            <w:tcBorders>
              <w:right w:val="single" w:color="auto" w:sz="4" w:space="0"/>
            </w:tcBorders>
            <w:vAlign w:val="center"/>
          </w:tcPr>
          <w:p>
            <w:pPr>
              <w:spacing w:line="400" w:lineRule="exact"/>
              <w:jc w:val="center"/>
              <w:rPr>
                <w:rFonts w:ascii="仿宋" w:hAnsi="仿宋" w:eastAsia="仿宋" w:cs="仿宋"/>
                <w:szCs w:val="21"/>
              </w:rPr>
            </w:pPr>
            <w:r>
              <w:rPr>
                <w:rFonts w:hint="eastAsia" w:ascii="仿宋" w:hAnsi="仿宋" w:eastAsia="仿宋" w:cs="仿宋"/>
                <w:szCs w:val="21"/>
              </w:rPr>
              <w:t>是否通过验收</w:t>
            </w:r>
          </w:p>
        </w:tc>
        <w:tc>
          <w:tcPr>
            <w:tcW w:w="1387" w:type="dxa"/>
            <w:tcBorders>
              <w:left w:val="single" w:color="auto" w:sz="4" w:space="0"/>
            </w:tcBorders>
            <w:vAlign w:val="center"/>
          </w:tcPr>
          <w:p>
            <w:pPr>
              <w:spacing w:line="400" w:lineRule="exact"/>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18" w:type="dxa"/>
            <w:vAlign w:val="center"/>
          </w:tcPr>
          <w:p>
            <w:pPr>
              <w:spacing w:line="400" w:lineRule="exact"/>
              <w:jc w:val="center"/>
              <w:rPr>
                <w:rFonts w:ascii="仿宋" w:hAnsi="仿宋" w:eastAsia="仿宋" w:cs="仿宋"/>
                <w:szCs w:val="21"/>
              </w:rPr>
            </w:pPr>
          </w:p>
        </w:tc>
        <w:tc>
          <w:tcPr>
            <w:tcW w:w="1439" w:type="dxa"/>
            <w:vAlign w:val="center"/>
          </w:tcPr>
          <w:p>
            <w:pPr>
              <w:spacing w:line="400" w:lineRule="exact"/>
              <w:jc w:val="center"/>
              <w:rPr>
                <w:rFonts w:ascii="仿宋" w:hAnsi="仿宋" w:eastAsia="仿宋" w:cs="仿宋"/>
                <w:szCs w:val="21"/>
              </w:rPr>
            </w:pPr>
          </w:p>
        </w:tc>
        <w:tc>
          <w:tcPr>
            <w:tcW w:w="1319" w:type="dxa"/>
            <w:vAlign w:val="center"/>
          </w:tcPr>
          <w:p>
            <w:pPr>
              <w:spacing w:line="400" w:lineRule="exact"/>
              <w:jc w:val="center"/>
              <w:rPr>
                <w:rFonts w:ascii="仿宋" w:hAnsi="仿宋" w:eastAsia="仿宋" w:cs="仿宋"/>
                <w:szCs w:val="21"/>
              </w:rPr>
            </w:pPr>
          </w:p>
        </w:tc>
        <w:tc>
          <w:tcPr>
            <w:tcW w:w="1160" w:type="dxa"/>
            <w:vAlign w:val="center"/>
          </w:tcPr>
          <w:p>
            <w:pPr>
              <w:spacing w:line="400" w:lineRule="exact"/>
              <w:jc w:val="center"/>
              <w:rPr>
                <w:rFonts w:ascii="仿宋" w:hAnsi="仿宋" w:eastAsia="仿宋" w:cs="仿宋"/>
                <w:szCs w:val="21"/>
              </w:rPr>
            </w:pPr>
          </w:p>
        </w:tc>
        <w:tc>
          <w:tcPr>
            <w:tcW w:w="1421" w:type="dxa"/>
            <w:vAlign w:val="center"/>
          </w:tcPr>
          <w:p>
            <w:pPr>
              <w:spacing w:line="400" w:lineRule="exact"/>
              <w:jc w:val="center"/>
              <w:rPr>
                <w:rFonts w:ascii="仿宋" w:hAnsi="仿宋" w:eastAsia="仿宋" w:cs="仿宋"/>
                <w:szCs w:val="21"/>
              </w:rPr>
            </w:pPr>
          </w:p>
        </w:tc>
        <w:tc>
          <w:tcPr>
            <w:tcW w:w="1614" w:type="dxa"/>
            <w:tcBorders>
              <w:right w:val="single" w:color="auto" w:sz="4" w:space="0"/>
            </w:tcBorders>
            <w:vAlign w:val="center"/>
          </w:tcPr>
          <w:p>
            <w:pPr>
              <w:spacing w:line="400" w:lineRule="exact"/>
              <w:jc w:val="center"/>
              <w:rPr>
                <w:rFonts w:ascii="仿宋" w:hAnsi="仿宋" w:eastAsia="仿宋" w:cs="仿宋"/>
                <w:szCs w:val="21"/>
              </w:rPr>
            </w:pPr>
          </w:p>
        </w:tc>
        <w:tc>
          <w:tcPr>
            <w:tcW w:w="1387" w:type="dxa"/>
            <w:tcBorders>
              <w:left w:val="single" w:color="auto" w:sz="4" w:space="0"/>
            </w:tcBorders>
            <w:vAlign w:val="center"/>
          </w:tcPr>
          <w:p>
            <w:pPr>
              <w:spacing w:line="4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18" w:type="dxa"/>
            <w:vAlign w:val="center"/>
          </w:tcPr>
          <w:p>
            <w:pPr>
              <w:spacing w:line="400" w:lineRule="exact"/>
              <w:jc w:val="center"/>
              <w:rPr>
                <w:rFonts w:ascii="仿宋" w:hAnsi="仿宋" w:eastAsia="仿宋" w:cs="仿宋"/>
                <w:szCs w:val="21"/>
              </w:rPr>
            </w:pPr>
          </w:p>
        </w:tc>
        <w:tc>
          <w:tcPr>
            <w:tcW w:w="1439" w:type="dxa"/>
            <w:vAlign w:val="center"/>
          </w:tcPr>
          <w:p>
            <w:pPr>
              <w:spacing w:line="400" w:lineRule="exact"/>
              <w:jc w:val="center"/>
              <w:rPr>
                <w:rFonts w:ascii="仿宋" w:hAnsi="仿宋" w:eastAsia="仿宋" w:cs="仿宋"/>
                <w:szCs w:val="21"/>
              </w:rPr>
            </w:pPr>
          </w:p>
        </w:tc>
        <w:tc>
          <w:tcPr>
            <w:tcW w:w="1319" w:type="dxa"/>
            <w:vAlign w:val="center"/>
          </w:tcPr>
          <w:p>
            <w:pPr>
              <w:spacing w:line="400" w:lineRule="exact"/>
              <w:jc w:val="center"/>
              <w:rPr>
                <w:rFonts w:ascii="仿宋" w:hAnsi="仿宋" w:eastAsia="仿宋" w:cs="仿宋"/>
                <w:szCs w:val="21"/>
              </w:rPr>
            </w:pPr>
          </w:p>
        </w:tc>
        <w:tc>
          <w:tcPr>
            <w:tcW w:w="1160" w:type="dxa"/>
            <w:vAlign w:val="center"/>
          </w:tcPr>
          <w:p>
            <w:pPr>
              <w:spacing w:line="400" w:lineRule="exact"/>
              <w:jc w:val="center"/>
              <w:rPr>
                <w:rFonts w:ascii="仿宋" w:hAnsi="仿宋" w:eastAsia="仿宋" w:cs="仿宋"/>
                <w:szCs w:val="21"/>
              </w:rPr>
            </w:pPr>
          </w:p>
        </w:tc>
        <w:tc>
          <w:tcPr>
            <w:tcW w:w="1421" w:type="dxa"/>
            <w:vAlign w:val="center"/>
          </w:tcPr>
          <w:p>
            <w:pPr>
              <w:spacing w:line="400" w:lineRule="exact"/>
              <w:jc w:val="center"/>
              <w:rPr>
                <w:rFonts w:ascii="仿宋" w:hAnsi="仿宋" w:eastAsia="仿宋" w:cs="仿宋"/>
                <w:szCs w:val="21"/>
              </w:rPr>
            </w:pPr>
          </w:p>
        </w:tc>
        <w:tc>
          <w:tcPr>
            <w:tcW w:w="1614" w:type="dxa"/>
            <w:tcBorders>
              <w:right w:val="single" w:color="auto" w:sz="4" w:space="0"/>
            </w:tcBorders>
            <w:vAlign w:val="center"/>
          </w:tcPr>
          <w:p>
            <w:pPr>
              <w:spacing w:line="400" w:lineRule="exact"/>
              <w:jc w:val="center"/>
              <w:rPr>
                <w:rFonts w:ascii="仿宋" w:hAnsi="仿宋" w:eastAsia="仿宋" w:cs="仿宋"/>
                <w:szCs w:val="21"/>
              </w:rPr>
            </w:pPr>
          </w:p>
        </w:tc>
        <w:tc>
          <w:tcPr>
            <w:tcW w:w="1387" w:type="dxa"/>
            <w:tcBorders>
              <w:left w:val="single" w:color="auto" w:sz="4" w:space="0"/>
            </w:tcBorders>
            <w:vAlign w:val="center"/>
          </w:tcPr>
          <w:p>
            <w:pPr>
              <w:spacing w:line="4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18" w:type="dxa"/>
            <w:vAlign w:val="center"/>
          </w:tcPr>
          <w:p>
            <w:pPr>
              <w:spacing w:line="400" w:lineRule="exact"/>
              <w:jc w:val="center"/>
              <w:rPr>
                <w:rFonts w:ascii="仿宋" w:hAnsi="仿宋" w:eastAsia="仿宋" w:cs="仿宋"/>
                <w:szCs w:val="21"/>
              </w:rPr>
            </w:pPr>
          </w:p>
        </w:tc>
        <w:tc>
          <w:tcPr>
            <w:tcW w:w="1439" w:type="dxa"/>
            <w:vAlign w:val="center"/>
          </w:tcPr>
          <w:p>
            <w:pPr>
              <w:spacing w:line="400" w:lineRule="exact"/>
              <w:jc w:val="center"/>
              <w:rPr>
                <w:rFonts w:ascii="仿宋" w:hAnsi="仿宋" w:eastAsia="仿宋" w:cs="仿宋"/>
                <w:szCs w:val="21"/>
              </w:rPr>
            </w:pPr>
          </w:p>
        </w:tc>
        <w:tc>
          <w:tcPr>
            <w:tcW w:w="1319" w:type="dxa"/>
            <w:vAlign w:val="center"/>
          </w:tcPr>
          <w:p>
            <w:pPr>
              <w:spacing w:line="400" w:lineRule="exact"/>
              <w:jc w:val="center"/>
              <w:rPr>
                <w:rFonts w:ascii="仿宋" w:hAnsi="仿宋" w:eastAsia="仿宋" w:cs="仿宋"/>
                <w:szCs w:val="21"/>
              </w:rPr>
            </w:pPr>
          </w:p>
        </w:tc>
        <w:tc>
          <w:tcPr>
            <w:tcW w:w="1160" w:type="dxa"/>
            <w:vAlign w:val="center"/>
          </w:tcPr>
          <w:p>
            <w:pPr>
              <w:spacing w:line="400" w:lineRule="exact"/>
              <w:jc w:val="center"/>
              <w:rPr>
                <w:rFonts w:ascii="仿宋" w:hAnsi="仿宋" w:eastAsia="仿宋" w:cs="仿宋"/>
                <w:szCs w:val="21"/>
              </w:rPr>
            </w:pPr>
          </w:p>
        </w:tc>
        <w:tc>
          <w:tcPr>
            <w:tcW w:w="1421" w:type="dxa"/>
            <w:vAlign w:val="center"/>
          </w:tcPr>
          <w:p>
            <w:pPr>
              <w:spacing w:line="400" w:lineRule="exact"/>
              <w:jc w:val="center"/>
              <w:rPr>
                <w:rFonts w:ascii="仿宋" w:hAnsi="仿宋" w:eastAsia="仿宋" w:cs="仿宋"/>
                <w:szCs w:val="21"/>
              </w:rPr>
            </w:pPr>
          </w:p>
        </w:tc>
        <w:tc>
          <w:tcPr>
            <w:tcW w:w="1614" w:type="dxa"/>
            <w:tcBorders>
              <w:right w:val="single" w:color="auto" w:sz="4" w:space="0"/>
            </w:tcBorders>
            <w:vAlign w:val="center"/>
          </w:tcPr>
          <w:p>
            <w:pPr>
              <w:spacing w:line="400" w:lineRule="exact"/>
              <w:jc w:val="center"/>
              <w:rPr>
                <w:rFonts w:ascii="仿宋" w:hAnsi="仿宋" w:eastAsia="仿宋" w:cs="仿宋"/>
                <w:szCs w:val="21"/>
              </w:rPr>
            </w:pPr>
          </w:p>
        </w:tc>
        <w:tc>
          <w:tcPr>
            <w:tcW w:w="1387" w:type="dxa"/>
            <w:tcBorders>
              <w:left w:val="single" w:color="auto" w:sz="4" w:space="0"/>
            </w:tcBorders>
            <w:vAlign w:val="center"/>
          </w:tcPr>
          <w:p>
            <w:pPr>
              <w:spacing w:line="4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18" w:type="dxa"/>
            <w:vAlign w:val="center"/>
          </w:tcPr>
          <w:p>
            <w:pPr>
              <w:spacing w:line="400" w:lineRule="exact"/>
              <w:jc w:val="center"/>
              <w:rPr>
                <w:rFonts w:ascii="仿宋" w:hAnsi="仿宋" w:eastAsia="仿宋" w:cs="仿宋"/>
                <w:szCs w:val="21"/>
              </w:rPr>
            </w:pPr>
          </w:p>
        </w:tc>
        <w:tc>
          <w:tcPr>
            <w:tcW w:w="1439" w:type="dxa"/>
            <w:tcBorders>
              <w:right w:val="single" w:color="auto" w:sz="4" w:space="0"/>
            </w:tcBorders>
            <w:vAlign w:val="center"/>
          </w:tcPr>
          <w:p>
            <w:pPr>
              <w:spacing w:line="400" w:lineRule="exact"/>
              <w:jc w:val="center"/>
              <w:rPr>
                <w:rFonts w:ascii="仿宋" w:hAnsi="仿宋" w:eastAsia="仿宋" w:cs="仿宋"/>
                <w:szCs w:val="21"/>
              </w:rPr>
            </w:pPr>
          </w:p>
        </w:tc>
        <w:tc>
          <w:tcPr>
            <w:tcW w:w="1319" w:type="dxa"/>
            <w:tcBorders>
              <w:left w:val="single" w:color="auto" w:sz="4" w:space="0"/>
            </w:tcBorders>
            <w:vAlign w:val="center"/>
          </w:tcPr>
          <w:p>
            <w:pPr>
              <w:spacing w:line="400" w:lineRule="exact"/>
              <w:jc w:val="center"/>
              <w:rPr>
                <w:rFonts w:ascii="仿宋" w:hAnsi="仿宋" w:eastAsia="仿宋" w:cs="仿宋"/>
                <w:szCs w:val="21"/>
              </w:rPr>
            </w:pPr>
          </w:p>
        </w:tc>
        <w:tc>
          <w:tcPr>
            <w:tcW w:w="1160" w:type="dxa"/>
            <w:vAlign w:val="center"/>
          </w:tcPr>
          <w:p>
            <w:pPr>
              <w:spacing w:line="400" w:lineRule="exact"/>
              <w:jc w:val="center"/>
              <w:rPr>
                <w:rFonts w:ascii="仿宋" w:hAnsi="仿宋" w:eastAsia="仿宋" w:cs="仿宋"/>
                <w:szCs w:val="21"/>
              </w:rPr>
            </w:pPr>
          </w:p>
        </w:tc>
        <w:tc>
          <w:tcPr>
            <w:tcW w:w="1421" w:type="dxa"/>
            <w:vAlign w:val="center"/>
          </w:tcPr>
          <w:p>
            <w:pPr>
              <w:spacing w:line="400" w:lineRule="exact"/>
              <w:jc w:val="center"/>
              <w:rPr>
                <w:rFonts w:ascii="仿宋" w:hAnsi="仿宋" w:eastAsia="仿宋" w:cs="仿宋"/>
                <w:szCs w:val="21"/>
              </w:rPr>
            </w:pPr>
          </w:p>
        </w:tc>
        <w:tc>
          <w:tcPr>
            <w:tcW w:w="1614" w:type="dxa"/>
            <w:tcBorders>
              <w:right w:val="single" w:color="auto" w:sz="4" w:space="0"/>
            </w:tcBorders>
            <w:vAlign w:val="center"/>
          </w:tcPr>
          <w:p>
            <w:pPr>
              <w:spacing w:line="400" w:lineRule="exact"/>
              <w:jc w:val="center"/>
              <w:rPr>
                <w:rFonts w:ascii="仿宋" w:hAnsi="仿宋" w:eastAsia="仿宋" w:cs="仿宋"/>
                <w:szCs w:val="21"/>
              </w:rPr>
            </w:pPr>
          </w:p>
        </w:tc>
        <w:tc>
          <w:tcPr>
            <w:tcW w:w="1387" w:type="dxa"/>
            <w:tcBorders>
              <w:left w:val="single" w:color="auto" w:sz="4" w:space="0"/>
            </w:tcBorders>
            <w:vAlign w:val="center"/>
          </w:tcPr>
          <w:p>
            <w:pPr>
              <w:spacing w:line="400" w:lineRule="exact"/>
              <w:jc w:val="center"/>
              <w:rPr>
                <w:rFonts w:ascii="仿宋" w:hAnsi="仿宋" w:eastAsia="仿宋" w:cs="仿宋"/>
                <w:szCs w:val="21"/>
              </w:rPr>
            </w:pPr>
          </w:p>
        </w:tc>
      </w:tr>
    </w:tbl>
    <w:p>
      <w:pPr>
        <w:widowControl/>
        <w:spacing w:line="360" w:lineRule="atLeast"/>
        <w:ind w:firstLine="411" w:firstLineChars="196"/>
        <w:jc w:val="left"/>
        <w:rPr>
          <w:rFonts w:ascii="仿宋" w:hAnsi="仿宋" w:eastAsia="仿宋" w:cs="仿宋"/>
          <w:szCs w:val="21"/>
        </w:rPr>
      </w:pPr>
    </w:p>
    <w:p>
      <w:pPr>
        <w:pStyle w:val="4"/>
        <w:ind w:firstLine="0" w:firstLineChars="0"/>
        <w:rPr>
          <w:rFonts w:ascii="仿宋" w:hAnsi="仿宋" w:eastAsia="仿宋" w:cs="仿宋"/>
          <w:szCs w:val="21"/>
        </w:rPr>
      </w:pPr>
      <w:r>
        <w:rPr>
          <w:rFonts w:hint="eastAsia" w:ascii="仿宋" w:hAnsi="仿宋" w:eastAsia="仿宋" w:cs="仿宋"/>
          <w:szCs w:val="21"/>
        </w:rPr>
        <w:t>注：以上业绩需提供磋商文件要求的有关书面证明材料。</w:t>
      </w:r>
    </w:p>
    <w:p>
      <w:pPr>
        <w:ind w:firstLine="420" w:firstLineChars="200"/>
        <w:rPr>
          <w:rFonts w:ascii="仿宋" w:hAnsi="仿宋" w:eastAsia="仿宋" w:cs="仿宋"/>
          <w:szCs w:val="21"/>
        </w:rPr>
      </w:pPr>
      <w:r>
        <w:rPr>
          <w:rFonts w:hint="eastAsia" w:ascii="仿宋" w:hAnsi="仿宋" w:eastAsia="仿宋" w:cs="仿宋"/>
          <w:szCs w:val="21"/>
        </w:rPr>
        <w:t xml:space="preserve">供应商名称（加盖公章）：        </w:t>
      </w:r>
    </w:p>
    <w:p>
      <w:pPr>
        <w:ind w:firstLine="420" w:firstLineChars="200"/>
        <w:rPr>
          <w:rFonts w:ascii="仿宋" w:hAnsi="仿宋" w:eastAsia="仿宋" w:cs="仿宋"/>
          <w:szCs w:val="21"/>
        </w:rPr>
      </w:pPr>
      <w:r>
        <w:rPr>
          <w:rFonts w:hint="eastAsia" w:ascii="仿宋" w:hAnsi="仿宋" w:eastAsia="仿宋" w:cs="仿宋"/>
          <w:szCs w:val="21"/>
        </w:rPr>
        <w:t>法定代表人或授权代理人（签字或盖章）：</w:t>
      </w:r>
    </w:p>
    <w:p>
      <w:pPr>
        <w:pStyle w:val="6"/>
        <w:spacing w:line="240" w:lineRule="auto"/>
        <w:ind w:firstLine="420" w:firstLineChars="200"/>
        <w:rPr>
          <w:rFonts w:ascii="仿宋" w:hAnsi="仿宋" w:eastAsia="仿宋" w:cs="仿宋"/>
          <w:b w:val="0"/>
          <w:sz w:val="21"/>
          <w:szCs w:val="21"/>
        </w:rPr>
      </w:pPr>
      <w:r>
        <w:rPr>
          <w:rFonts w:hint="eastAsia" w:ascii="仿宋" w:hAnsi="仿宋" w:eastAsia="仿宋" w:cs="仿宋"/>
          <w:b w:val="0"/>
          <w:sz w:val="21"/>
          <w:szCs w:val="21"/>
        </w:rPr>
        <w:t>日期：</w:t>
      </w:r>
    </w:p>
    <w:p>
      <w:pPr>
        <w:pStyle w:val="17"/>
        <w:shd w:val="clear" w:color="auto" w:fill="FFFFFF"/>
        <w:spacing w:line="360" w:lineRule="auto"/>
        <w:jc w:val="center"/>
        <w:rPr>
          <w:rFonts w:ascii="仿宋" w:hAnsi="仿宋" w:eastAsia="仿宋" w:cs="仿宋"/>
          <w:b/>
          <w:bCs/>
          <w:color w:val="000000"/>
          <w:sz w:val="21"/>
          <w:szCs w:val="21"/>
        </w:rPr>
      </w:pPr>
    </w:p>
    <w:p>
      <w:pPr>
        <w:spacing w:line="360" w:lineRule="auto"/>
        <w:jc w:val="center"/>
        <w:rPr>
          <w:rFonts w:hint="eastAsia" w:ascii="仿宋" w:hAnsi="仿宋" w:eastAsia="仿宋" w:cs="仿宋"/>
          <w:b/>
          <w:szCs w:val="21"/>
        </w:rPr>
      </w:pPr>
      <w:r>
        <w:rPr>
          <w:rFonts w:hint="eastAsia" w:ascii="仿宋" w:hAnsi="仿宋" w:eastAsia="仿宋" w:cs="仿宋"/>
          <w:b/>
          <w:szCs w:val="21"/>
          <w:lang w:eastAsia="zh-CN"/>
        </w:rPr>
        <w:t>项目人员</w:t>
      </w:r>
      <w:r>
        <w:rPr>
          <w:rFonts w:hint="eastAsia" w:ascii="仿宋" w:hAnsi="仿宋" w:eastAsia="仿宋" w:cs="仿宋"/>
          <w:b/>
          <w:szCs w:val="21"/>
        </w:rPr>
        <w:t>组成表</w:t>
      </w:r>
    </w:p>
    <w:p>
      <w:pPr>
        <w:rPr>
          <w:rFonts w:ascii="仿宋" w:hAnsi="仿宋" w:eastAsia="仿宋" w:cs="仿宋"/>
          <w:szCs w:val="21"/>
        </w:rPr>
      </w:pPr>
      <w:r>
        <w:rPr>
          <w:rFonts w:hint="eastAsia" w:ascii="仿宋" w:hAnsi="仿宋" w:eastAsia="仿宋" w:cs="仿宋"/>
          <w:szCs w:val="21"/>
        </w:rPr>
        <w:t>项目编号：</w:t>
      </w:r>
    </w:p>
    <w:p>
      <w:pPr>
        <w:widowControl/>
        <w:spacing w:line="360" w:lineRule="auto"/>
        <w:jc w:val="left"/>
        <w:rPr>
          <w:rFonts w:hint="eastAsia" w:ascii="仿宋" w:hAnsi="仿宋" w:eastAsia="仿宋" w:cs="仿宋"/>
          <w:b/>
          <w:bCs/>
          <w:sz w:val="22"/>
          <w:szCs w:val="22"/>
        </w:rPr>
      </w:pPr>
      <w:r>
        <w:rPr>
          <w:rFonts w:hint="eastAsia" w:ascii="仿宋" w:hAnsi="仿宋" w:eastAsia="仿宋" w:cs="仿宋"/>
          <w:szCs w:val="21"/>
        </w:rPr>
        <w:t>项目名称：</w:t>
      </w:r>
    </w:p>
    <w:tbl>
      <w:tblPr>
        <w:tblStyle w:val="2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序号</w:t>
            </w:r>
          </w:p>
        </w:tc>
        <w:tc>
          <w:tcPr>
            <w:tcW w:w="1695" w:type="dxa"/>
            <w:vMerge w:val="restart"/>
            <w:tcBorders>
              <w:top w:val="single" w:color="auto" w:sz="4" w:space="0"/>
              <w:left w:val="nil"/>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职务</w:t>
            </w:r>
          </w:p>
        </w:tc>
        <w:tc>
          <w:tcPr>
            <w:tcW w:w="1423" w:type="dxa"/>
            <w:vMerge w:val="restart"/>
            <w:tcBorders>
              <w:top w:val="single" w:color="auto" w:sz="4" w:space="0"/>
              <w:left w:val="nil"/>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95"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423"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证书名称</w:t>
            </w: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证书编号</w:t>
            </w: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职称专业</w:t>
            </w:r>
          </w:p>
        </w:tc>
        <w:tc>
          <w:tcPr>
            <w:tcW w:w="168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1</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2"/>
                <w:szCs w:val="22"/>
              </w:rPr>
            </w:pPr>
            <w:r>
              <w:rPr>
                <w:rFonts w:hint="eastAsia" w:ascii="仿宋" w:hAnsi="仿宋" w:eastAsia="仿宋" w:cs="仿宋"/>
                <w:sz w:val="22"/>
                <w:szCs w:val="22"/>
              </w:rPr>
              <w:t>项目负责人</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2</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2"/>
                <w:szCs w:val="22"/>
              </w:rPr>
            </w:pPr>
            <w:r>
              <w:rPr>
                <w:rFonts w:hint="eastAsia" w:ascii="仿宋" w:hAnsi="仿宋" w:eastAsia="仿宋" w:cs="仿宋"/>
                <w:sz w:val="22"/>
                <w:szCs w:val="2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3</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hint="eastAsia" w:ascii="仿宋" w:hAnsi="仿宋" w:eastAsia="仿宋" w:cs="仿宋"/>
                <w:sz w:val="22"/>
                <w:szCs w:val="22"/>
              </w:rPr>
            </w:pPr>
            <w:r>
              <w:rPr>
                <w:rFonts w:hint="eastAsia" w:ascii="仿宋" w:hAnsi="仿宋" w:eastAsia="仿宋" w:cs="仿宋"/>
                <w:sz w:val="22"/>
                <w:szCs w:val="22"/>
              </w:rPr>
              <w:t>现场</w:t>
            </w:r>
            <w:r>
              <w:rPr>
                <w:rFonts w:hint="eastAsia" w:ascii="仿宋" w:hAnsi="仿宋" w:eastAsia="仿宋" w:cs="仿宋"/>
                <w:sz w:val="22"/>
                <w:szCs w:val="22"/>
                <w:lang w:eastAsia="zh-CN"/>
              </w:rPr>
              <w:t>维护</w:t>
            </w:r>
            <w:r>
              <w:rPr>
                <w:rFonts w:hint="eastAsia" w:ascii="仿宋" w:hAnsi="仿宋" w:eastAsia="仿宋" w:cs="仿宋"/>
                <w:sz w:val="22"/>
                <w:szCs w:val="22"/>
              </w:rPr>
              <w:t>员</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4</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hint="eastAsia" w:ascii="仿宋" w:hAnsi="仿宋" w:eastAsia="仿宋" w:cs="仿宋"/>
                <w:sz w:val="22"/>
                <w:szCs w:val="22"/>
              </w:rPr>
            </w:pPr>
            <w:r>
              <w:rPr>
                <w:rFonts w:hint="eastAsia" w:ascii="仿宋" w:hAnsi="仿宋" w:eastAsia="仿宋" w:cs="仿宋"/>
                <w:sz w:val="22"/>
                <w:szCs w:val="22"/>
              </w:rPr>
              <w:t>维修员</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5</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hint="eastAsia" w:ascii="仿宋" w:hAnsi="仿宋" w:eastAsia="仿宋" w:cs="仿宋"/>
                <w:sz w:val="22"/>
                <w:szCs w:val="22"/>
              </w:rPr>
            </w:pPr>
            <w:r>
              <w:rPr>
                <w:rFonts w:hint="eastAsia" w:ascii="仿宋" w:hAnsi="仿宋" w:eastAsia="仿宋" w:cs="仿宋"/>
                <w:sz w:val="22"/>
                <w:szCs w:val="22"/>
              </w:rPr>
              <w:t>保养员</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p>
        </w:tc>
        <w:tc>
          <w:tcPr>
            <w:tcW w:w="1695"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r>
              <w:rPr>
                <w:rFonts w:hint="eastAsia" w:ascii="仿宋" w:hAnsi="仿宋" w:eastAsia="仿宋" w:cs="仿宋"/>
                <w:sz w:val="22"/>
                <w:szCs w:val="22"/>
              </w:rPr>
              <w:t>…</w:t>
            </w:r>
          </w:p>
        </w:tc>
        <w:tc>
          <w:tcPr>
            <w:tcW w:w="1423"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27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3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134"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2"/>
                <w:szCs w:val="22"/>
              </w:rPr>
            </w:pPr>
          </w:p>
        </w:tc>
        <w:tc>
          <w:tcPr>
            <w:tcW w:w="1680" w:type="dxa"/>
            <w:tcBorders>
              <w:top w:val="single" w:color="auto" w:sz="4" w:space="0"/>
              <w:left w:val="nil"/>
              <w:bottom w:val="single" w:color="auto" w:sz="4" w:space="0"/>
              <w:right w:val="single" w:color="auto" w:sz="4" w:space="0"/>
            </w:tcBorders>
          </w:tcPr>
          <w:p>
            <w:pPr>
              <w:spacing w:line="240" w:lineRule="auto"/>
              <w:ind w:firstLine="0" w:firstLineChars="0"/>
              <w:jc w:val="center"/>
              <w:rPr>
                <w:rFonts w:hint="eastAsia" w:ascii="仿宋" w:hAnsi="仿宋" w:eastAsia="仿宋" w:cs="仿宋"/>
                <w:sz w:val="22"/>
                <w:szCs w:val="22"/>
              </w:rPr>
            </w:pPr>
          </w:p>
        </w:tc>
      </w:tr>
    </w:tbl>
    <w:p>
      <w:pPr>
        <w:ind w:firstLine="440"/>
        <w:rPr>
          <w:rFonts w:hint="eastAsia" w:ascii="仿宋" w:hAnsi="仿宋" w:eastAsia="仿宋" w:cs="仿宋"/>
          <w:sz w:val="22"/>
          <w:szCs w:val="22"/>
        </w:rPr>
      </w:pPr>
    </w:p>
    <w:p>
      <w:pPr>
        <w:widowControl/>
        <w:spacing w:line="360" w:lineRule="auto"/>
        <w:ind w:firstLine="411" w:firstLineChars="196"/>
        <w:jc w:val="left"/>
        <w:rPr>
          <w:rFonts w:ascii="仿宋" w:hAnsi="仿宋" w:eastAsia="仿宋" w:cs="仿宋"/>
          <w:strike/>
          <w:color w:val="0070C0"/>
          <w:szCs w:val="21"/>
        </w:rPr>
      </w:pPr>
      <w:r>
        <w:rPr>
          <w:rFonts w:hint="eastAsia" w:ascii="仿宋" w:hAnsi="仿宋" w:eastAsia="仿宋" w:cs="仿宋"/>
          <w:strike/>
          <w:color w:val="0070C0"/>
          <w:szCs w:val="21"/>
        </w:rPr>
        <w:t xml:space="preserve"> </w:t>
      </w:r>
    </w:p>
    <w:p>
      <w:pPr>
        <w:widowControl/>
        <w:spacing w:line="360" w:lineRule="auto"/>
        <w:jc w:val="left"/>
        <w:rPr>
          <w:rFonts w:ascii="仿宋" w:hAnsi="仿宋" w:eastAsia="仿宋" w:cs="仿宋"/>
          <w:szCs w:val="21"/>
        </w:rPr>
      </w:pPr>
      <w:r>
        <w:rPr>
          <w:rFonts w:hint="eastAsia" w:ascii="仿宋" w:hAnsi="仿宋" w:eastAsia="仿宋" w:cs="仿宋"/>
          <w:szCs w:val="21"/>
        </w:rPr>
        <w:t>注：1.以上表格格式行、列可增减。</w:t>
      </w:r>
    </w:p>
    <w:p>
      <w:pPr>
        <w:widowControl/>
        <w:spacing w:line="360" w:lineRule="auto"/>
        <w:ind w:firstLine="420" w:firstLineChars="200"/>
        <w:jc w:val="left"/>
        <w:rPr>
          <w:rFonts w:ascii="仿宋" w:hAnsi="仿宋" w:eastAsia="仿宋" w:cs="仿宋"/>
          <w:szCs w:val="21"/>
        </w:rPr>
      </w:pPr>
      <w:r>
        <w:rPr>
          <w:rFonts w:hint="eastAsia" w:ascii="仿宋" w:hAnsi="仿宋" w:eastAsia="仿宋" w:cs="仿宋"/>
          <w:szCs w:val="21"/>
        </w:rPr>
        <w:t>2.供应商根据采购项目的全部商务要求逐条填写此表，并按采购文件要求提供相应的证明材料。</w:t>
      </w:r>
    </w:p>
    <w:p>
      <w:pPr>
        <w:spacing w:line="360" w:lineRule="auto"/>
        <w:ind w:firstLine="452" w:firstLineChars="200"/>
        <w:rPr>
          <w:rFonts w:ascii="仿宋" w:hAnsi="仿宋" w:eastAsia="仿宋" w:cs="仿宋"/>
          <w:szCs w:val="21"/>
        </w:rPr>
      </w:pPr>
      <w:r>
        <w:rPr>
          <w:rFonts w:hint="eastAsia" w:ascii="仿宋" w:hAnsi="仿宋" w:eastAsia="仿宋" w:cs="仿宋"/>
          <w:bCs/>
          <w:color w:val="000000"/>
          <w:spacing w:val="8"/>
          <w:szCs w:val="21"/>
        </w:rPr>
        <w:t>3.供应商必须据实填写，不得虚假响应，否则将取消其投标或中标资格等。</w:t>
      </w:r>
    </w:p>
    <w:p>
      <w:pPr>
        <w:spacing w:line="360" w:lineRule="auto"/>
        <w:jc w:val="left"/>
        <w:rPr>
          <w:rFonts w:ascii="仿宋" w:hAnsi="仿宋" w:eastAsia="仿宋" w:cs="仿宋"/>
          <w:szCs w:val="21"/>
        </w:rPr>
      </w:pPr>
      <w:r>
        <w:rPr>
          <w:rFonts w:hint="eastAsia" w:ascii="仿宋" w:hAnsi="仿宋" w:eastAsia="仿宋" w:cs="仿宋"/>
          <w:szCs w:val="21"/>
        </w:rPr>
        <w:t>供应商名称：XXX（盖单位公章）</w:t>
      </w:r>
    </w:p>
    <w:p>
      <w:pPr>
        <w:spacing w:line="360" w:lineRule="auto"/>
        <w:jc w:val="left"/>
        <w:rPr>
          <w:rFonts w:ascii="仿宋" w:hAnsi="仿宋" w:eastAsia="仿宋" w:cs="仿宋"/>
          <w:szCs w:val="21"/>
        </w:rPr>
      </w:pPr>
      <w:r>
        <w:rPr>
          <w:rFonts w:hint="eastAsia" w:ascii="仿宋" w:hAnsi="仿宋" w:eastAsia="仿宋" w:cs="仿宋"/>
          <w:szCs w:val="21"/>
        </w:rPr>
        <w:t>法定代表人/单位负责人或授权代表（签字或加盖个人印章）：</w:t>
      </w:r>
    </w:p>
    <w:p>
      <w:pPr>
        <w:pStyle w:val="4"/>
        <w:spacing w:line="360" w:lineRule="auto"/>
        <w:ind w:firstLine="0" w:firstLineChars="0"/>
        <w:jc w:val="left"/>
        <w:rPr>
          <w:rFonts w:ascii="仿宋" w:hAnsi="仿宋" w:eastAsia="仿宋" w:cs="仿宋"/>
          <w:szCs w:val="21"/>
        </w:rPr>
      </w:pPr>
      <w:r>
        <w:rPr>
          <w:rFonts w:hint="eastAsia" w:ascii="仿宋" w:hAnsi="仿宋" w:eastAsia="仿宋" w:cs="仿宋"/>
          <w:szCs w:val="21"/>
        </w:rPr>
        <w:t>日      期：XXX年XXX月XXX日</w:t>
      </w:r>
    </w:p>
    <w:p>
      <w:pPr>
        <w:pStyle w:val="17"/>
        <w:shd w:val="clear" w:color="auto" w:fill="FFFFFF"/>
        <w:spacing w:line="360" w:lineRule="auto"/>
        <w:jc w:val="both"/>
        <w:rPr>
          <w:rFonts w:ascii="仿宋" w:hAnsi="仿宋" w:eastAsia="仿宋" w:cs="仿宋"/>
          <w:b/>
          <w:bCs/>
          <w:color w:val="000000"/>
          <w:sz w:val="21"/>
          <w:szCs w:val="21"/>
        </w:rPr>
      </w:pPr>
    </w:p>
    <w:p>
      <w:pPr>
        <w:pStyle w:val="17"/>
        <w:shd w:val="clear" w:color="auto" w:fill="FFFFFF"/>
        <w:spacing w:line="360" w:lineRule="auto"/>
        <w:jc w:val="center"/>
        <w:rPr>
          <w:rFonts w:ascii="仿宋" w:hAnsi="仿宋" w:eastAsia="仿宋" w:cs="仿宋"/>
          <w:b/>
          <w:bCs/>
          <w:sz w:val="21"/>
          <w:szCs w:val="21"/>
        </w:rPr>
      </w:pPr>
      <w:r>
        <w:rPr>
          <w:rFonts w:hint="eastAsia" w:ascii="仿宋" w:hAnsi="仿宋" w:eastAsia="仿宋" w:cs="仿宋"/>
          <w:b/>
          <w:bCs/>
          <w:sz w:val="21"/>
          <w:szCs w:val="21"/>
        </w:rPr>
        <w:t>供应商售后服务承诺</w:t>
      </w:r>
    </w:p>
    <w:p>
      <w:pPr>
        <w:pStyle w:val="17"/>
        <w:shd w:val="clear" w:color="auto" w:fill="FFFFFF"/>
        <w:spacing w:line="360" w:lineRule="auto"/>
        <w:jc w:val="center"/>
        <w:rPr>
          <w:rFonts w:ascii="仿宋" w:hAnsi="仿宋" w:eastAsia="仿宋" w:cs="仿宋"/>
          <w:b/>
          <w:bCs/>
          <w:sz w:val="21"/>
          <w:szCs w:val="21"/>
        </w:rPr>
      </w:pPr>
    </w:p>
    <w:p>
      <w:pPr>
        <w:pStyle w:val="17"/>
        <w:shd w:val="clear" w:color="auto" w:fill="FFFFFF"/>
        <w:spacing w:line="360" w:lineRule="auto"/>
        <w:jc w:val="center"/>
        <w:rPr>
          <w:rFonts w:ascii="仿宋" w:hAnsi="仿宋" w:eastAsia="仿宋" w:cs="仿宋"/>
          <w:sz w:val="21"/>
          <w:szCs w:val="21"/>
        </w:rPr>
      </w:pPr>
      <w:r>
        <w:rPr>
          <w:rFonts w:hint="eastAsia" w:ascii="仿宋" w:hAnsi="仿宋" w:eastAsia="仿宋" w:cs="仿宋"/>
          <w:b/>
          <w:bCs/>
          <w:sz w:val="21"/>
          <w:szCs w:val="21"/>
        </w:rPr>
        <w:t xml:space="preserve">供应商认为其他需要提供的资料和文件 </w:t>
      </w:r>
    </w:p>
    <w:p>
      <w:pPr>
        <w:pStyle w:val="16"/>
        <w:rPr>
          <w:rFonts w:ascii="仿宋" w:hAnsi="仿宋" w:eastAsia="仿宋" w:cs="仿宋"/>
          <w:sz w:val="21"/>
          <w:szCs w:val="21"/>
        </w:rPr>
      </w:pPr>
    </w:p>
    <w:p>
      <w:pPr>
        <w:pStyle w:val="16"/>
      </w:pPr>
    </w:p>
    <w:p/>
    <w:p>
      <w:pPr>
        <w:pStyle w:val="6"/>
      </w:pPr>
    </w:p>
    <w:p>
      <w:pPr>
        <w:pStyle w:val="7"/>
      </w:pPr>
    </w:p>
    <w:p/>
    <w:p>
      <w:pPr>
        <w:pStyle w:val="6"/>
      </w:pPr>
    </w:p>
    <w:p>
      <w:pPr>
        <w:pStyle w:val="7"/>
      </w:pPr>
    </w:p>
    <w:p/>
    <w:p>
      <w:pPr>
        <w:pStyle w:val="6"/>
      </w:pPr>
    </w:p>
    <w:p>
      <w:pPr>
        <w:pStyle w:val="7"/>
      </w:pPr>
    </w:p>
    <w:p>
      <w:pPr>
        <w:rPr>
          <w:rFonts w:hint="eastAsia"/>
          <w:color w:val="auto"/>
          <w:sz w:val="24"/>
          <w:szCs w:val="24"/>
        </w:rPr>
      </w:pPr>
    </w:p>
    <w:p>
      <w:pPr>
        <w:autoSpaceDE w:val="0"/>
        <w:autoSpaceDN w:val="0"/>
        <w:adjustRightInd w:val="0"/>
        <w:spacing w:line="451" w:lineRule="exact"/>
        <w:jc w:val="center"/>
        <w:rPr>
          <w:b/>
          <w:bCs/>
          <w:kern w:val="0"/>
          <w:sz w:val="44"/>
          <w:szCs w:val="32"/>
        </w:rPr>
      </w:pPr>
      <w:r>
        <w:rPr>
          <w:rFonts w:hint="eastAsia"/>
          <w:b/>
          <w:bCs/>
          <w:kern w:val="0"/>
          <w:sz w:val="44"/>
          <w:szCs w:val="32"/>
        </w:rPr>
        <w:t>电梯维护</w:t>
      </w:r>
      <w:r>
        <w:rPr>
          <w:rFonts w:hint="eastAsia"/>
          <w:b/>
          <w:bCs/>
          <w:kern w:val="0"/>
          <w:sz w:val="44"/>
          <w:szCs w:val="32"/>
          <w:lang w:eastAsia="zh-CN"/>
        </w:rPr>
        <w:t>、维修、</w:t>
      </w:r>
      <w:r>
        <w:rPr>
          <w:rFonts w:hint="eastAsia"/>
          <w:b/>
          <w:bCs/>
          <w:kern w:val="0"/>
          <w:sz w:val="44"/>
          <w:szCs w:val="32"/>
          <w:lang w:eastAsia="zh-TW"/>
        </w:rPr>
        <w:t>保养服务</w:t>
      </w:r>
      <w:r>
        <w:rPr>
          <w:rFonts w:hint="eastAsia"/>
          <w:b/>
          <w:bCs/>
          <w:kern w:val="0"/>
          <w:sz w:val="44"/>
          <w:szCs w:val="32"/>
        </w:rPr>
        <w:t>合同</w:t>
      </w:r>
    </w:p>
    <w:p>
      <w:pPr>
        <w:autoSpaceDE w:val="0"/>
        <w:autoSpaceDN w:val="0"/>
        <w:adjustRightInd w:val="0"/>
        <w:spacing w:line="192" w:lineRule="exact"/>
        <w:rPr>
          <w:rFonts w:hint="default" w:ascii="宋体"/>
          <w:kern w:val="0"/>
          <w:sz w:val="28"/>
          <w:szCs w:val="16"/>
          <w:lang w:val="en-US" w:eastAsia="zh-CN"/>
        </w:rPr>
      </w:pPr>
      <w:r>
        <w:rPr>
          <w:rFonts w:hint="eastAsia" w:ascii="宋体"/>
          <w:kern w:val="0"/>
          <w:sz w:val="28"/>
          <w:szCs w:val="16"/>
          <w:lang w:val="en-US" w:eastAsia="zh-CN"/>
        </w:rPr>
        <w:t xml:space="preserve">            </w:t>
      </w:r>
    </w:p>
    <w:p>
      <w:pPr>
        <w:autoSpaceDE w:val="0"/>
        <w:autoSpaceDN w:val="0"/>
        <w:adjustRightInd w:val="0"/>
        <w:spacing w:line="192" w:lineRule="exact"/>
        <w:ind w:firstLine="48"/>
        <w:rPr>
          <w:rFonts w:ascii="宋体"/>
          <w:kern w:val="0"/>
          <w:sz w:val="28"/>
          <w:szCs w:val="16"/>
        </w:rPr>
      </w:pPr>
    </w:p>
    <w:p>
      <w:pPr>
        <w:autoSpaceDE w:val="0"/>
        <w:autoSpaceDN w:val="0"/>
        <w:adjustRightInd w:val="0"/>
        <w:spacing w:line="345" w:lineRule="exact"/>
        <w:ind w:firstLine="3360" w:firstLineChars="1200"/>
        <w:rPr>
          <w:rFonts w:hint="default" w:ascii="宋体" w:eastAsia="宋体"/>
          <w:kern w:val="0"/>
          <w:sz w:val="28"/>
          <w:lang w:val="en-US" w:eastAsia="zh-CN"/>
        </w:rPr>
      </w:pPr>
      <w:r>
        <w:rPr>
          <w:rFonts w:hint="eastAsia" w:ascii="宋体"/>
          <w:kern w:val="0"/>
          <w:sz w:val="28"/>
          <w:lang w:val="en-US" w:eastAsia="zh-CN"/>
        </w:rPr>
        <w:t>(实质性响应)</w:t>
      </w:r>
    </w:p>
    <w:p>
      <w:pPr>
        <w:autoSpaceDE w:val="0"/>
        <w:autoSpaceDN w:val="0"/>
        <w:adjustRightInd w:val="0"/>
        <w:spacing w:line="345" w:lineRule="exact"/>
        <w:ind w:firstLine="1120" w:firstLineChars="400"/>
        <w:rPr>
          <w:rFonts w:hint="eastAsia"/>
          <w:kern w:val="0"/>
          <w:sz w:val="28"/>
          <w:lang w:eastAsia="zh-TW"/>
        </w:rPr>
      </w:pPr>
    </w:p>
    <w:p>
      <w:pPr>
        <w:autoSpaceDE w:val="0"/>
        <w:autoSpaceDN w:val="0"/>
        <w:adjustRightInd w:val="0"/>
        <w:spacing w:line="345" w:lineRule="exact"/>
        <w:ind w:firstLine="1120" w:firstLineChars="400"/>
        <w:rPr>
          <w:rFonts w:ascii="宋体"/>
          <w:kern w:val="0"/>
          <w:sz w:val="28"/>
        </w:rPr>
      </w:pPr>
      <w:r>
        <w:rPr>
          <w:rFonts w:hint="eastAsia"/>
          <w:kern w:val="0"/>
          <w:sz w:val="28"/>
          <w:lang w:eastAsia="zh-TW"/>
        </w:rPr>
        <w:t>甲方</w:t>
      </w:r>
      <w:r>
        <w:rPr>
          <w:kern w:val="0"/>
          <w:sz w:val="28"/>
          <w:lang w:eastAsia="zh-TW"/>
        </w:rPr>
        <w:t xml:space="preserve"> </w:t>
      </w:r>
      <w:r>
        <w:rPr>
          <w:rFonts w:ascii="宋体"/>
          <w:kern w:val="0"/>
          <w:sz w:val="28"/>
          <w:lang w:eastAsia="zh-TW"/>
        </w:rPr>
        <w:t xml:space="preserve">( </w:t>
      </w:r>
      <w:r>
        <w:rPr>
          <w:rFonts w:hint="eastAsia" w:ascii="宋体"/>
          <w:kern w:val="0"/>
          <w:sz w:val="28"/>
          <w:lang w:eastAsia="zh-TW"/>
        </w:rPr>
        <w:t>委托方</w:t>
      </w:r>
      <w:r>
        <w:rPr>
          <w:rFonts w:ascii="宋体"/>
          <w:kern w:val="0"/>
          <w:sz w:val="28"/>
          <w:lang w:eastAsia="zh-TW"/>
        </w:rPr>
        <w:t xml:space="preserve"> )</w:t>
      </w:r>
      <w:r>
        <w:rPr>
          <w:rFonts w:ascii="宋体"/>
          <w:kern w:val="0"/>
          <w:sz w:val="28"/>
        </w:rPr>
        <w:t xml:space="preserve">                    </w:t>
      </w:r>
      <w:r>
        <w:rPr>
          <w:rFonts w:hint="eastAsia"/>
          <w:kern w:val="0"/>
          <w:sz w:val="28"/>
          <w:lang w:eastAsia="zh-TW"/>
        </w:rPr>
        <w:t>乙方</w:t>
      </w:r>
      <w:r>
        <w:rPr>
          <w:kern w:val="0"/>
          <w:sz w:val="28"/>
          <w:lang w:eastAsia="zh-TW"/>
        </w:rPr>
        <w:t xml:space="preserve"> </w:t>
      </w:r>
      <w:r>
        <w:rPr>
          <w:rFonts w:ascii="宋体"/>
          <w:kern w:val="0"/>
          <w:sz w:val="28"/>
        </w:rPr>
        <w:t xml:space="preserve">( </w:t>
      </w:r>
      <w:r>
        <w:rPr>
          <w:rFonts w:hint="eastAsia" w:ascii="宋体"/>
          <w:kern w:val="0"/>
          <w:sz w:val="28"/>
          <w:lang w:eastAsia="zh-TW"/>
        </w:rPr>
        <w:t>受托方</w:t>
      </w:r>
      <w:r>
        <w:rPr>
          <w:rFonts w:ascii="宋体"/>
          <w:kern w:val="0"/>
          <w:sz w:val="28"/>
        </w:rPr>
        <w:t xml:space="preserve"> )</w:t>
      </w:r>
    </w:p>
    <w:p>
      <w:pPr>
        <w:autoSpaceDE w:val="0"/>
        <w:autoSpaceDN w:val="0"/>
        <w:adjustRightInd w:val="0"/>
        <w:spacing w:line="316" w:lineRule="exact"/>
        <w:rPr>
          <w:rFonts w:hint="eastAsia" w:ascii="宋体"/>
          <w:kern w:val="0"/>
          <w:sz w:val="28"/>
          <w:szCs w:val="18"/>
        </w:rPr>
      </w:pP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TW"/>
        </w:rPr>
        <w:t>单位名称</w:t>
      </w:r>
      <w:r>
        <w:rPr>
          <w:rFonts w:ascii="宋体" w:hAnsi="宋体"/>
          <w:kern w:val="0"/>
          <w:sz w:val="24"/>
        </w:rPr>
        <w:t>:(</w:t>
      </w:r>
      <w:r>
        <w:rPr>
          <w:rFonts w:hint="eastAsia" w:ascii="宋体" w:hAnsi="宋体"/>
          <w:kern w:val="0"/>
          <w:sz w:val="24"/>
          <w:lang w:eastAsia="zh-TW"/>
        </w:rPr>
        <w:t>章</w:t>
      </w:r>
      <w:r>
        <w:rPr>
          <w:rFonts w:ascii="宋体" w:hAnsi="宋体"/>
          <w:kern w:val="0"/>
          <w:sz w:val="24"/>
          <w:u w:val="single"/>
        </w:rPr>
        <w:t>)</w:t>
      </w:r>
      <w:r>
        <w:rPr>
          <w:rFonts w:hint="eastAsia" w:ascii="宋体" w:hAnsi="宋体"/>
          <w:kern w:val="0"/>
          <w:sz w:val="24"/>
          <w:u w:val="single"/>
        </w:rPr>
        <w:t xml:space="preserve">绵阳市中医医院      </w:t>
      </w:r>
      <w:r>
        <w:rPr>
          <w:rFonts w:ascii="宋体" w:hAnsi="宋体"/>
          <w:kern w:val="0"/>
          <w:sz w:val="24"/>
        </w:rPr>
        <w:t xml:space="preserve">    </w:t>
      </w:r>
      <w:r>
        <w:rPr>
          <w:rFonts w:hint="eastAsia" w:ascii="宋体" w:hAnsi="宋体"/>
          <w:kern w:val="0"/>
          <w:sz w:val="24"/>
        </w:rPr>
        <w:t xml:space="preserve">         </w:t>
      </w:r>
      <w:r>
        <w:rPr>
          <w:rFonts w:hint="eastAsia" w:ascii="宋体" w:hAnsi="宋体"/>
          <w:kern w:val="0"/>
          <w:sz w:val="24"/>
          <w:lang w:eastAsia="zh-TW"/>
        </w:rPr>
        <w:t>单位名称</w:t>
      </w:r>
      <w:r>
        <w:rPr>
          <w:rFonts w:ascii="宋体" w:hAnsi="宋体"/>
          <w:kern w:val="0"/>
          <w:sz w:val="24"/>
        </w:rPr>
        <w:t>:(</w:t>
      </w:r>
      <w:r>
        <w:rPr>
          <w:rFonts w:hint="eastAsia" w:ascii="宋体" w:hAnsi="宋体"/>
          <w:kern w:val="0"/>
          <w:sz w:val="24"/>
          <w:lang w:eastAsia="zh-TW"/>
        </w:rPr>
        <w:t>章</w:t>
      </w:r>
      <w:r>
        <w:rPr>
          <w:rFonts w:hint="eastAsia" w:ascii="宋体" w:hAnsi="宋体"/>
          <w:kern w:val="0"/>
          <w:sz w:val="24"/>
        </w:rPr>
        <w:t>)</w:t>
      </w:r>
    </w:p>
    <w:p>
      <w:pPr>
        <w:autoSpaceDE w:val="0"/>
        <w:autoSpaceDN w:val="0"/>
        <w:adjustRightInd w:val="0"/>
        <w:spacing w:line="540" w:lineRule="exact"/>
        <w:rPr>
          <w:rFonts w:hint="eastAsia" w:ascii="宋体" w:hAnsi="宋体"/>
          <w:kern w:val="0"/>
          <w:sz w:val="24"/>
        </w:rPr>
      </w:pPr>
      <w:r>
        <w:rPr>
          <w:rFonts w:hint="eastAsia" w:ascii="宋体" w:hAnsi="宋体"/>
          <w:kern w:val="0"/>
          <w:sz w:val="24"/>
        </w:rPr>
        <w:t xml:space="preserve">                                                            </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TW"/>
        </w:rPr>
        <w:t>单位地址</w:t>
      </w:r>
      <w:r>
        <w:rPr>
          <w:rFonts w:ascii="宋体" w:hAnsi="宋体"/>
          <w:kern w:val="0"/>
          <w:sz w:val="24"/>
        </w:rPr>
        <w:t>:</w:t>
      </w:r>
      <w:r>
        <w:rPr>
          <w:rFonts w:hint="eastAsia" w:ascii="宋体" w:hAnsi="宋体"/>
          <w:kern w:val="0"/>
          <w:sz w:val="24"/>
        </w:rPr>
        <w:t>绵阳市</w:t>
      </w:r>
      <w:r>
        <w:rPr>
          <w:rFonts w:ascii="宋体" w:hAnsi="宋体"/>
          <w:kern w:val="0"/>
          <w:sz w:val="24"/>
        </w:rPr>
        <w:t xml:space="preserve">                    </w:t>
      </w:r>
      <w:r>
        <w:rPr>
          <w:rFonts w:hint="eastAsia" w:ascii="宋体" w:hAnsi="宋体"/>
          <w:kern w:val="0"/>
          <w:sz w:val="24"/>
        </w:rPr>
        <w:t xml:space="preserve">           地址：</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TW"/>
        </w:rPr>
        <w:t>法定代表人</w:t>
      </w:r>
      <w:r>
        <w:rPr>
          <w:rFonts w:ascii="宋体" w:hAnsi="宋体"/>
          <w:kern w:val="0"/>
          <w:sz w:val="24"/>
        </w:rPr>
        <w:t xml:space="preserve">:                                   </w:t>
      </w:r>
      <w:r>
        <w:rPr>
          <w:rFonts w:hint="eastAsia" w:ascii="宋体" w:hAnsi="宋体"/>
          <w:kern w:val="0"/>
          <w:sz w:val="24"/>
          <w:lang w:eastAsia="zh-TW"/>
        </w:rPr>
        <w:t>法定代表人</w:t>
      </w:r>
      <w:r>
        <w:rPr>
          <w:rFonts w:hint="eastAsia" w:ascii="宋体" w:hAnsi="宋体"/>
          <w:kern w:val="0"/>
          <w:sz w:val="24"/>
        </w:rPr>
        <w:t xml:space="preserve">: </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TW"/>
        </w:rPr>
        <w:t>法人委托人</w:t>
      </w:r>
      <w:r>
        <w:rPr>
          <w:rFonts w:ascii="宋体" w:hAnsi="宋体"/>
          <w:kern w:val="0"/>
          <w:sz w:val="24"/>
        </w:rPr>
        <w:t>:</w:t>
      </w:r>
      <w:r>
        <w:rPr>
          <w:rFonts w:hint="eastAsia" w:ascii="宋体" w:hAnsi="宋体"/>
          <w:kern w:val="0"/>
          <w:sz w:val="24"/>
        </w:rPr>
        <w:t xml:space="preserve">                                   法定委托人:           </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TW"/>
        </w:rPr>
        <w:t>签约地点</w:t>
      </w:r>
      <w:r>
        <w:rPr>
          <w:rFonts w:hint="eastAsia" w:ascii="宋体" w:hAnsi="宋体"/>
          <w:kern w:val="0"/>
          <w:sz w:val="24"/>
        </w:rPr>
        <w:t>: 绵阳</w:t>
      </w:r>
      <w:r>
        <w:rPr>
          <w:rFonts w:ascii="宋体" w:hAnsi="宋体"/>
          <w:kern w:val="0"/>
          <w:sz w:val="24"/>
        </w:rPr>
        <w:t xml:space="preserve">                                </w:t>
      </w:r>
      <w:r>
        <w:rPr>
          <w:rFonts w:hint="eastAsia" w:ascii="宋体" w:hAnsi="宋体"/>
          <w:kern w:val="0"/>
          <w:sz w:val="24"/>
          <w:lang w:eastAsia="zh-TW"/>
        </w:rPr>
        <w:t>签订日期</w:t>
      </w:r>
      <w:r>
        <w:rPr>
          <w:rFonts w:ascii="宋体" w:hAnsi="宋体"/>
          <w:kern w:val="0"/>
          <w:sz w:val="24"/>
        </w:rPr>
        <w:t>:</w:t>
      </w:r>
    </w:p>
    <w:p>
      <w:pPr>
        <w:autoSpaceDE w:val="0"/>
        <w:autoSpaceDN w:val="0"/>
        <w:adjustRightInd w:val="0"/>
        <w:spacing w:line="540" w:lineRule="exact"/>
        <w:ind w:firstLine="369"/>
        <w:rPr>
          <w:rFonts w:hint="eastAsia" w:ascii="宋体" w:hAnsi="宋体"/>
          <w:kern w:val="0"/>
          <w:sz w:val="24"/>
        </w:rPr>
      </w:pPr>
      <w:r>
        <w:rPr>
          <w:rFonts w:hint="eastAsia" w:ascii="宋体" w:hAnsi="宋体"/>
          <w:kern w:val="0"/>
          <w:sz w:val="24"/>
          <w:lang w:eastAsia="zh-TW"/>
        </w:rPr>
        <w:t>双方按照</w:t>
      </w:r>
      <w:r>
        <w:rPr>
          <w:rFonts w:hint="eastAsia" w:ascii="宋体" w:hAnsi="宋体"/>
          <w:kern w:val="0"/>
          <w:sz w:val="24"/>
        </w:rPr>
        <w:t>《中华人民共和国特种设备安全法》及电梯</w:t>
      </w:r>
      <w:r>
        <w:rPr>
          <w:rFonts w:hint="eastAsia" w:ascii="宋体" w:hAnsi="宋体"/>
          <w:kern w:val="0"/>
          <w:sz w:val="24"/>
          <w:lang w:eastAsia="zh-TW"/>
        </w:rPr>
        <w:t>的</w:t>
      </w:r>
      <w:r>
        <w:rPr>
          <w:rFonts w:hint="eastAsia" w:ascii="宋体" w:hAnsi="宋体"/>
          <w:kern w:val="0"/>
          <w:sz w:val="24"/>
        </w:rPr>
        <w:t>相关法律法规、</w:t>
      </w:r>
      <w:r>
        <w:rPr>
          <w:rFonts w:hint="eastAsia" w:ascii="宋体" w:hAnsi="宋体"/>
          <w:kern w:val="0"/>
          <w:sz w:val="24"/>
          <w:lang w:eastAsia="zh-TW"/>
        </w:rPr>
        <w:t>规定</w:t>
      </w:r>
      <w:r>
        <w:rPr>
          <w:rFonts w:ascii="宋体" w:hAnsi="宋体"/>
          <w:kern w:val="0"/>
          <w:sz w:val="24"/>
        </w:rPr>
        <w:t xml:space="preserve"> , </w:t>
      </w:r>
      <w:r>
        <w:rPr>
          <w:rFonts w:hint="eastAsia" w:ascii="宋体" w:hAnsi="宋体"/>
          <w:kern w:val="0"/>
          <w:sz w:val="24"/>
          <w:lang w:eastAsia="zh-TW"/>
        </w:rPr>
        <w:t>遵循公平、诚实和信用的原则</w:t>
      </w:r>
      <w:r>
        <w:rPr>
          <w:rFonts w:ascii="宋体" w:hAnsi="宋体"/>
          <w:kern w:val="0"/>
          <w:sz w:val="24"/>
        </w:rPr>
        <w:t xml:space="preserve"> , </w:t>
      </w:r>
      <w:r>
        <w:rPr>
          <w:rFonts w:hint="eastAsia" w:ascii="宋体" w:hAnsi="宋体"/>
          <w:kern w:val="0"/>
          <w:sz w:val="24"/>
          <w:lang w:eastAsia="zh-TW"/>
        </w:rPr>
        <w:t>共同确定以下由乙方向甲方提供的服务内容条款。</w:t>
      </w:r>
    </w:p>
    <w:p>
      <w:pPr>
        <w:tabs>
          <w:tab w:val="left" w:pos="180"/>
        </w:tabs>
        <w:autoSpaceDE w:val="0"/>
        <w:autoSpaceDN w:val="0"/>
        <w:adjustRightInd w:val="0"/>
        <w:spacing w:line="540" w:lineRule="exact"/>
        <w:rPr>
          <w:rFonts w:hint="eastAsia" w:ascii="宋体" w:hAnsi="宋体"/>
          <w:kern w:val="0"/>
          <w:sz w:val="24"/>
        </w:rPr>
      </w:pPr>
      <w:r>
        <w:rPr>
          <w:rFonts w:hint="eastAsia" w:ascii="宋体" w:hAnsi="宋体"/>
          <w:kern w:val="0"/>
          <w:sz w:val="24"/>
        </w:rPr>
        <w:t>一、</w:t>
      </w:r>
      <w:r>
        <w:rPr>
          <w:rFonts w:hint="eastAsia" w:ascii="宋体" w:hAnsi="宋体"/>
          <w:kern w:val="0"/>
          <w:sz w:val="24"/>
          <w:lang w:eastAsia="zh-TW"/>
        </w:rPr>
        <w:t>本合同经双方代表签字并盖章后生效。</w:t>
      </w:r>
    </w:p>
    <w:p>
      <w:pPr>
        <w:autoSpaceDE w:val="0"/>
        <w:autoSpaceDN w:val="0"/>
        <w:adjustRightInd w:val="0"/>
        <w:spacing w:line="540" w:lineRule="exact"/>
        <w:rPr>
          <w:rFonts w:hint="eastAsia" w:ascii="宋体" w:hAnsi="宋体" w:eastAsia="宋体"/>
          <w:kern w:val="0"/>
          <w:sz w:val="24"/>
          <w:lang w:eastAsia="zh-CN"/>
        </w:rPr>
      </w:pPr>
      <w:r>
        <w:rPr>
          <w:rFonts w:hint="eastAsia" w:ascii="宋体" w:hAnsi="宋体"/>
          <w:kern w:val="0"/>
          <w:sz w:val="24"/>
          <w:lang w:eastAsia="zh-CN"/>
        </w:rPr>
        <w:t>二</w:t>
      </w:r>
      <w:r>
        <w:rPr>
          <w:rFonts w:hint="eastAsia" w:ascii="宋体" w:hAnsi="宋体"/>
          <w:kern w:val="0"/>
          <w:sz w:val="24"/>
          <w:lang w:eastAsia="zh-TW"/>
        </w:rPr>
        <w:t>、</w:t>
      </w:r>
      <w:r>
        <w:rPr>
          <w:rFonts w:hint="eastAsia"/>
          <w:sz w:val="24"/>
        </w:rPr>
        <w:t xml:space="preserve"> 本次</w:t>
      </w:r>
      <w:r>
        <w:rPr>
          <w:rFonts w:hint="eastAsia" w:ascii="Times New Roman" w:hAnsi="Times New Roman" w:eastAsia="宋体" w:cs="Times New Roman"/>
          <w:sz w:val="24"/>
        </w:rPr>
        <w:t>维护</w:t>
      </w:r>
      <w:r>
        <w:rPr>
          <w:rFonts w:hint="eastAsia" w:ascii="Times New Roman" w:hAnsi="Times New Roman" w:eastAsia="宋体" w:cs="Times New Roman"/>
          <w:sz w:val="24"/>
          <w:lang w:eastAsia="zh-CN"/>
        </w:rPr>
        <w:t>、维修、</w:t>
      </w:r>
      <w:r>
        <w:rPr>
          <w:rFonts w:hint="eastAsia" w:ascii="Times New Roman" w:hAnsi="Times New Roman" w:eastAsia="宋体" w:cs="Times New Roman"/>
          <w:sz w:val="24"/>
          <w:lang w:eastAsia="zh-TW"/>
        </w:rPr>
        <w:t>保养</w:t>
      </w:r>
      <w:r>
        <w:rPr>
          <w:rFonts w:hint="eastAsia" w:ascii="Times New Roman" w:hAnsi="Times New Roman" w:eastAsia="宋体" w:cs="Times New Roman"/>
          <w:sz w:val="24"/>
          <w:lang w:eastAsia="zh-CN"/>
        </w:rPr>
        <w:t>（简称</w:t>
      </w:r>
      <w:r>
        <w:rPr>
          <w:rFonts w:hint="eastAsia"/>
          <w:sz w:val="24"/>
        </w:rPr>
        <w:t>维保</w:t>
      </w:r>
      <w:r>
        <w:rPr>
          <w:rFonts w:hint="eastAsia"/>
          <w:sz w:val="24"/>
          <w:lang w:eastAsia="zh-CN"/>
        </w:rPr>
        <w:t>，以下同）</w:t>
      </w:r>
      <w:r>
        <w:rPr>
          <w:rFonts w:hint="eastAsia" w:ascii="宋体" w:hAnsi="宋体"/>
          <w:kern w:val="0"/>
          <w:sz w:val="24"/>
          <w:lang w:eastAsia="zh-CN"/>
        </w:rPr>
        <w:t>电梯的情况：</w:t>
      </w:r>
    </w:p>
    <w:tbl>
      <w:tblPr>
        <w:tblStyle w:val="21"/>
        <w:tblW w:w="7977" w:type="dxa"/>
        <w:tblInd w:w="518" w:type="dxa"/>
        <w:tblLayout w:type="autofit"/>
        <w:tblCellMar>
          <w:top w:w="0" w:type="dxa"/>
          <w:left w:w="0" w:type="dxa"/>
          <w:bottom w:w="0" w:type="dxa"/>
          <w:right w:w="0" w:type="dxa"/>
        </w:tblCellMar>
      </w:tblPr>
      <w:tblGrid>
        <w:gridCol w:w="963"/>
        <w:gridCol w:w="794"/>
        <w:gridCol w:w="2585"/>
        <w:gridCol w:w="1816"/>
        <w:gridCol w:w="956"/>
        <w:gridCol w:w="863"/>
      </w:tblGrid>
      <w:tr>
        <w:tblPrEx>
          <w:tblCellMar>
            <w:top w:w="0" w:type="dxa"/>
            <w:left w:w="0" w:type="dxa"/>
            <w:bottom w:w="0" w:type="dxa"/>
            <w:right w:w="0" w:type="dxa"/>
          </w:tblCellMar>
        </w:tblPrEx>
        <w:trPr>
          <w:trHeight w:val="619" w:hRule="atLeast"/>
        </w:trPr>
        <w:tc>
          <w:tcPr>
            <w:tcW w:w="9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kern w:val="0"/>
                <w:sz w:val="24"/>
                <w:szCs w:val="24"/>
              </w:rPr>
            </w:pPr>
            <w:r>
              <w:rPr>
                <w:rFonts w:hint="eastAsia" w:ascii="仿宋_GB2312" w:hAnsi="宋体" w:eastAsia="仿宋_GB2312" w:cs="宋体"/>
                <w:kern w:val="0"/>
                <w:sz w:val="24"/>
                <w:szCs w:val="24"/>
              </w:rPr>
              <w:t>名称</w:t>
            </w:r>
          </w:p>
        </w:tc>
        <w:tc>
          <w:tcPr>
            <w:tcW w:w="794"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kern w:val="0"/>
                <w:sz w:val="24"/>
                <w:szCs w:val="24"/>
              </w:rPr>
            </w:pPr>
            <w:r>
              <w:rPr>
                <w:rFonts w:hint="eastAsia" w:ascii="仿宋_GB2312" w:hAnsi="宋体" w:eastAsia="仿宋_GB2312" w:cs="宋体"/>
                <w:kern w:val="0"/>
                <w:sz w:val="24"/>
                <w:szCs w:val="24"/>
              </w:rPr>
              <w:t>品牌</w:t>
            </w:r>
          </w:p>
        </w:tc>
        <w:tc>
          <w:tcPr>
            <w:tcW w:w="25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kern w:val="0"/>
                <w:sz w:val="24"/>
                <w:szCs w:val="24"/>
              </w:rPr>
            </w:pPr>
            <w:r>
              <w:rPr>
                <w:rFonts w:hint="eastAsia" w:ascii="仿宋_GB2312" w:hAnsi="宋体" w:eastAsia="仿宋_GB2312" w:cs="宋体"/>
                <w:kern w:val="0"/>
                <w:sz w:val="24"/>
                <w:szCs w:val="24"/>
              </w:rPr>
              <w:t>型号.规格</w:t>
            </w:r>
          </w:p>
        </w:tc>
        <w:tc>
          <w:tcPr>
            <w:tcW w:w="181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cs="宋体"/>
                <w:kern w:val="0"/>
                <w:sz w:val="24"/>
                <w:szCs w:val="24"/>
              </w:rPr>
            </w:pPr>
            <w:r>
              <w:rPr>
                <w:rFonts w:hint="eastAsia" w:ascii="仿宋_GB2312" w:hAnsi="宋体" w:eastAsia="仿宋_GB2312" w:cs="宋体"/>
                <w:kern w:val="0"/>
                <w:sz w:val="24"/>
                <w:szCs w:val="24"/>
              </w:rPr>
              <w:t>层/站</w:t>
            </w:r>
          </w:p>
        </w:tc>
        <w:tc>
          <w:tcPr>
            <w:tcW w:w="95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ascii="宋体" w:hAnsi="宋体" w:cs="宋体"/>
                <w:kern w:val="0"/>
                <w:sz w:val="24"/>
                <w:szCs w:val="24"/>
              </w:rPr>
            </w:pPr>
            <w:r>
              <w:rPr>
                <w:rFonts w:hint="eastAsia" w:ascii="仿宋_GB2312" w:hAnsi="宋体" w:eastAsia="仿宋_GB2312" w:cs="宋体"/>
                <w:kern w:val="0"/>
                <w:sz w:val="24"/>
                <w:szCs w:val="24"/>
              </w:rPr>
              <w:t>数量(台)</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位置</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bCs/>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szCs w:val="21"/>
              </w:rPr>
              <w:t>VB1600/1.75-VVVF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仿宋_GB2312" w:hAnsi="宋体" w:eastAsia="仿宋_GB2312" w:cs="宋体"/>
                <w:kern w:val="0"/>
                <w:szCs w:val="21"/>
              </w:rPr>
              <w:t>14/14</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仿宋_GB2312" w:hAnsi="宋体" w:eastAsia="仿宋_GB2312" w:cs="宋体"/>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住院楼</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bCs/>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Cs w:val="21"/>
              </w:rPr>
            </w:pPr>
            <w:r>
              <w:rPr>
                <w:rFonts w:hint="eastAsia"/>
                <w:color w:val="auto"/>
                <w:szCs w:val="21"/>
              </w:rPr>
              <w:t>VE1000/1.75-VVVF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仿宋_GB2312" w:hAnsi="宋体" w:eastAsia="仿宋_GB2312" w:cs="宋体"/>
                <w:kern w:val="0"/>
                <w:szCs w:val="21"/>
              </w:rPr>
              <w:t>14/14</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_GB2312" w:hAnsi="宋体" w:eastAsia="仿宋_GB2312" w:cs="宋体"/>
                <w:kern w:val="0"/>
                <w:szCs w:val="21"/>
              </w:rPr>
            </w:pPr>
            <w:r>
              <w:rPr>
                <w:rFonts w:hint="eastAsia" w:ascii="仿宋_GB2312" w:hAnsi="宋体" w:eastAsia="仿宋_GB2312" w:cs="宋体"/>
                <w:kern w:val="0"/>
                <w:szCs w:val="21"/>
              </w:rPr>
              <w:t>住院楼</w:t>
            </w:r>
          </w:p>
        </w:tc>
      </w:tr>
      <w:tr>
        <w:tblPrEx>
          <w:tblCellMar>
            <w:top w:w="0" w:type="dxa"/>
            <w:left w:w="0" w:type="dxa"/>
            <w:bottom w:w="0" w:type="dxa"/>
            <w:right w:w="0" w:type="dxa"/>
          </w:tblCellMar>
        </w:tblPrEx>
        <w:trPr>
          <w:trHeight w:val="634"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bCs/>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VB1600/1.75-VVVF</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仿宋_GB2312" w:hAnsi="宋体" w:eastAsia="仿宋_GB2312" w:cs="宋体"/>
                <w:kern w:val="0"/>
                <w:szCs w:val="21"/>
              </w:rPr>
              <w:t>15/15</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仿宋_GB2312" w:hAnsi="宋体" w:eastAsia="仿宋_GB2312" w:cs="宋体"/>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住院楼</w:t>
            </w:r>
          </w:p>
        </w:tc>
      </w:tr>
      <w:tr>
        <w:tblPrEx>
          <w:tblCellMar>
            <w:top w:w="0" w:type="dxa"/>
            <w:left w:w="0" w:type="dxa"/>
            <w:bottom w:w="0" w:type="dxa"/>
            <w:right w:w="0" w:type="dxa"/>
          </w:tblCellMar>
        </w:tblPrEx>
        <w:trPr>
          <w:trHeight w:val="800" w:hRule="atLeast"/>
        </w:trPr>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bCs/>
                <w:kern w:val="0"/>
                <w:szCs w:val="21"/>
              </w:rPr>
              <w:t>沃克斯</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szCs w:val="21"/>
              </w:rPr>
              <w:t>VB1600/1.0-200</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仿宋_GB2312" w:hAnsi="宋体" w:eastAsia="仿宋_GB2312" w:cs="宋体"/>
                <w:kern w:val="0"/>
                <w:szCs w:val="21"/>
              </w:rPr>
              <w:t>8/8</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仿宋_GB2312" w:hAnsi="宋体" w:eastAsia="仿宋_GB2312" w:cs="宋体"/>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南桥分院</w:t>
            </w:r>
          </w:p>
        </w:tc>
      </w:tr>
      <w:tr>
        <w:tblPrEx>
          <w:tblCellMar>
            <w:top w:w="0" w:type="dxa"/>
            <w:left w:w="0" w:type="dxa"/>
            <w:bottom w:w="0" w:type="dxa"/>
            <w:right w:w="0" w:type="dxa"/>
          </w:tblCellMar>
        </w:tblPrEx>
        <w:tc>
          <w:tcPr>
            <w:tcW w:w="96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szCs w:val="21"/>
              </w:rPr>
              <w:t>Max-B1600-2S1.75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kern w:val="0"/>
                <w:szCs w:val="21"/>
              </w:rPr>
            </w:pPr>
            <w:r>
              <w:rPr>
                <w:rFonts w:hint="eastAsia" w:ascii="仿宋_GB2312" w:hAnsi="宋体" w:eastAsia="仿宋_GB2312" w:cs="宋体"/>
                <w:kern w:val="0"/>
                <w:szCs w:val="21"/>
              </w:rPr>
              <w:t>22/22</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怀恩楼</w:t>
            </w:r>
          </w:p>
        </w:tc>
      </w:tr>
      <w:tr>
        <w:tblPrEx>
          <w:tblCellMar>
            <w:top w:w="0" w:type="dxa"/>
            <w:left w:w="0" w:type="dxa"/>
            <w:bottom w:w="0" w:type="dxa"/>
            <w:right w:w="0" w:type="dxa"/>
          </w:tblCellMar>
        </w:tblPrEx>
        <w:tc>
          <w:tcPr>
            <w:tcW w:w="963"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垂直梯</w:t>
            </w:r>
          </w:p>
        </w:tc>
        <w:tc>
          <w:tcPr>
            <w:tcW w:w="794"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广日</w:t>
            </w:r>
          </w:p>
        </w:tc>
        <w:tc>
          <w:tcPr>
            <w:tcW w:w="2585" w:type="dxa"/>
            <w:tcBorders>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szCs w:val="21"/>
              </w:rPr>
              <w:t>Max-B1800-2S1.75</w:t>
            </w:r>
          </w:p>
        </w:tc>
        <w:tc>
          <w:tcPr>
            <w:tcW w:w="1816" w:type="dxa"/>
            <w:tcBorders>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kern w:val="0"/>
                <w:szCs w:val="21"/>
              </w:rPr>
            </w:pPr>
            <w:r>
              <w:rPr>
                <w:rFonts w:hint="eastAsia" w:ascii="仿宋_GB2312" w:hAnsi="宋体" w:eastAsia="仿宋_GB2312" w:cs="宋体"/>
                <w:kern w:val="0"/>
                <w:szCs w:val="21"/>
              </w:rPr>
              <w:t>22/22</w:t>
            </w:r>
          </w:p>
        </w:tc>
        <w:tc>
          <w:tcPr>
            <w:tcW w:w="956"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863" w:type="dxa"/>
            <w:tcBorders>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怀恩楼</w:t>
            </w:r>
          </w:p>
        </w:tc>
      </w:tr>
      <w:tr>
        <w:tblPrEx>
          <w:tblCellMar>
            <w:top w:w="0" w:type="dxa"/>
            <w:left w:w="0" w:type="dxa"/>
            <w:bottom w:w="0" w:type="dxa"/>
            <w:right w:w="0" w:type="dxa"/>
          </w:tblCellMar>
        </w:tblPrEx>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szCs w:val="21"/>
              </w:rPr>
              <w:t>Max1000-CO1.75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center"/>
              <w:rPr>
                <w:rFonts w:hint="eastAsia" w:ascii="仿宋_GB2312" w:hAnsi="宋体" w:eastAsia="仿宋_GB2312" w:cs="宋体"/>
                <w:kern w:val="0"/>
                <w:szCs w:val="21"/>
              </w:rPr>
            </w:pPr>
            <w:r>
              <w:rPr>
                <w:rFonts w:hint="eastAsia" w:ascii="仿宋_GB2312" w:hAnsi="宋体" w:eastAsia="仿宋_GB2312" w:cs="宋体"/>
                <w:kern w:val="0"/>
                <w:szCs w:val="21"/>
              </w:rPr>
              <w:t>20/15</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怀恩楼</w:t>
            </w:r>
          </w:p>
        </w:tc>
      </w:tr>
      <w:tr>
        <w:tblPrEx>
          <w:tblCellMar>
            <w:top w:w="0" w:type="dxa"/>
            <w:left w:w="0" w:type="dxa"/>
            <w:bottom w:w="0" w:type="dxa"/>
            <w:right w:w="0" w:type="dxa"/>
          </w:tblCellMar>
        </w:tblPrEx>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垂直梯</w:t>
            </w:r>
          </w:p>
        </w:tc>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广日</w:t>
            </w:r>
          </w:p>
        </w:tc>
        <w:tc>
          <w:tcPr>
            <w:tcW w:w="2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szCs w:val="21"/>
              </w:rPr>
              <w:t>Max-B1600-2S1.75</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xml:space="preserve">   10/10</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86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怀恩楼</w:t>
            </w:r>
          </w:p>
        </w:tc>
      </w:tr>
    </w:tbl>
    <w:p>
      <w:pPr>
        <w:spacing w:line="480" w:lineRule="auto"/>
        <w:rPr>
          <w:sz w:val="24"/>
        </w:rPr>
      </w:pPr>
      <w:r>
        <w:rPr>
          <w:rFonts w:hint="eastAsia"/>
          <w:sz w:val="24"/>
        </w:rPr>
        <w:t xml:space="preserve">   本次维保电梯的总台数共计：13台。</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CN"/>
        </w:rPr>
        <w:t>三</w:t>
      </w:r>
      <w:r>
        <w:rPr>
          <w:rFonts w:hint="eastAsia" w:ascii="宋体" w:hAnsi="宋体"/>
          <w:kern w:val="0"/>
          <w:sz w:val="24"/>
          <w:lang w:eastAsia="zh-TW"/>
        </w:rPr>
        <w:t>、</w:t>
      </w:r>
      <w:r>
        <w:rPr>
          <w:rFonts w:hint="eastAsia" w:ascii="宋体" w:hAnsi="宋体"/>
          <w:kern w:val="0"/>
          <w:sz w:val="24"/>
          <w:lang w:eastAsia="zh-CN"/>
        </w:rPr>
        <w:t>本合同</w:t>
      </w:r>
      <w:r>
        <w:rPr>
          <w:rFonts w:hint="eastAsia" w:ascii="宋体" w:hAnsi="宋体"/>
          <w:kern w:val="0"/>
          <w:sz w:val="24"/>
          <w:lang w:eastAsia="zh-TW"/>
        </w:rPr>
        <w:t>服务期限</w:t>
      </w:r>
    </w:p>
    <w:p>
      <w:pPr>
        <w:autoSpaceDE w:val="0"/>
        <w:autoSpaceDN w:val="0"/>
        <w:adjustRightInd w:val="0"/>
        <w:spacing w:line="540" w:lineRule="exact"/>
        <w:ind w:firstLine="480" w:firstLineChars="200"/>
        <w:rPr>
          <w:rFonts w:hint="eastAsia" w:ascii="宋体" w:hAnsi="宋体"/>
          <w:color w:val="auto"/>
          <w:kern w:val="0"/>
          <w:sz w:val="24"/>
        </w:rPr>
      </w:pPr>
      <w:r>
        <w:rPr>
          <w:rFonts w:hint="eastAsia" w:ascii="宋体" w:hAnsi="宋体"/>
          <w:color w:val="auto"/>
          <w:kern w:val="0"/>
          <w:sz w:val="24"/>
          <w:lang w:eastAsia="zh-TW"/>
        </w:rPr>
        <w:t>自</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lang w:eastAsia="zh-TW"/>
        </w:rPr>
        <w:t>年</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lang w:eastAsia="zh-TW"/>
        </w:rPr>
        <w:t>月</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 xml:space="preserve"> </w:t>
      </w:r>
      <w:r>
        <w:rPr>
          <w:rFonts w:hint="eastAsia" w:ascii="宋体" w:hAnsi="宋体"/>
          <w:color w:val="auto"/>
          <w:kern w:val="0"/>
          <w:sz w:val="24"/>
          <w:lang w:eastAsia="zh-TW"/>
        </w:rPr>
        <w:t>日起至</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ascii="宋体" w:hAnsi="宋体"/>
          <w:color w:val="auto"/>
          <w:kern w:val="0"/>
          <w:sz w:val="24"/>
          <w:u w:val="single"/>
        </w:rPr>
        <w:t xml:space="preserve"> </w:t>
      </w:r>
      <w:r>
        <w:rPr>
          <w:rFonts w:hint="eastAsia" w:ascii="宋体" w:hAnsi="宋体"/>
          <w:color w:val="auto"/>
          <w:kern w:val="0"/>
          <w:sz w:val="24"/>
          <w:lang w:eastAsia="zh-TW"/>
        </w:rPr>
        <w:t>年</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lang w:eastAsia="zh-TW"/>
        </w:rPr>
        <w:t>月</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 xml:space="preserve"> </w:t>
      </w:r>
      <w:r>
        <w:rPr>
          <w:rFonts w:ascii="宋体" w:hAnsi="宋体"/>
          <w:color w:val="auto"/>
          <w:kern w:val="0"/>
          <w:sz w:val="24"/>
          <w:u w:val="single"/>
        </w:rPr>
        <w:t xml:space="preserve"> </w:t>
      </w:r>
      <w:r>
        <w:rPr>
          <w:rFonts w:hint="eastAsia" w:ascii="宋体" w:hAnsi="宋体"/>
          <w:color w:val="auto"/>
          <w:kern w:val="0"/>
          <w:sz w:val="24"/>
          <w:lang w:eastAsia="zh-TW"/>
        </w:rPr>
        <w:t>日止</w:t>
      </w:r>
      <w:r>
        <w:rPr>
          <w:rFonts w:hint="eastAsia" w:ascii="宋体" w:hAnsi="宋体"/>
          <w:color w:val="auto"/>
          <w:kern w:val="0"/>
          <w:sz w:val="24"/>
        </w:rPr>
        <w:t>。</w:t>
      </w:r>
    </w:p>
    <w:p>
      <w:pPr>
        <w:autoSpaceDE w:val="0"/>
        <w:autoSpaceDN w:val="0"/>
        <w:adjustRightInd w:val="0"/>
        <w:spacing w:line="540" w:lineRule="exact"/>
        <w:ind w:firstLine="480" w:firstLineChars="200"/>
        <w:rPr>
          <w:rFonts w:hint="eastAsia" w:ascii="宋体" w:hAnsi="宋体"/>
          <w:sz w:val="24"/>
        </w:rPr>
      </w:pPr>
    </w:p>
    <w:p>
      <w:pPr>
        <w:spacing w:line="480" w:lineRule="auto"/>
        <w:ind w:firstLine="360" w:firstLineChars="150"/>
        <w:rPr>
          <w:rFonts w:hint="eastAsia"/>
          <w:sz w:val="24"/>
        </w:rPr>
      </w:pPr>
      <w:r>
        <w:rPr>
          <w:rFonts w:hint="eastAsia"/>
          <w:sz w:val="24"/>
        </w:rPr>
        <w:t>维保合同期限三年，合同一年一签，由甲方决定是否续签合同，乙方无条件接受。</w:t>
      </w:r>
    </w:p>
    <w:p>
      <w:pPr>
        <w:autoSpaceDE w:val="0"/>
        <w:autoSpaceDN w:val="0"/>
        <w:adjustRightInd w:val="0"/>
        <w:spacing w:line="540" w:lineRule="exact"/>
        <w:rPr>
          <w:rFonts w:hint="eastAsia" w:ascii="宋体" w:hAnsi="宋体"/>
          <w:kern w:val="0"/>
          <w:sz w:val="24"/>
        </w:rPr>
      </w:pPr>
      <w:r>
        <w:rPr>
          <w:rFonts w:hint="eastAsia" w:ascii="宋体" w:hAnsi="宋体"/>
          <w:kern w:val="0"/>
          <w:sz w:val="24"/>
          <w:lang w:eastAsia="zh-CN"/>
        </w:rPr>
        <w:t>四</w:t>
      </w:r>
      <w:r>
        <w:rPr>
          <w:rFonts w:hint="eastAsia" w:ascii="宋体" w:hAnsi="宋体"/>
          <w:kern w:val="0"/>
          <w:sz w:val="24"/>
          <w:lang w:eastAsia="zh-TW"/>
        </w:rPr>
        <w:t>、服务时间</w:t>
      </w:r>
    </w:p>
    <w:p>
      <w:pPr>
        <w:spacing w:line="480" w:lineRule="auto"/>
        <w:ind w:firstLine="240" w:firstLineChars="100"/>
        <w:rPr>
          <w:rFonts w:hint="eastAsia"/>
          <w:sz w:val="24"/>
        </w:rPr>
      </w:pPr>
      <w:r>
        <w:rPr>
          <w:rFonts w:ascii="宋体" w:hAnsi="宋体"/>
          <w:kern w:val="0"/>
          <w:sz w:val="24"/>
        </w:rPr>
        <w:t>1</w:t>
      </w:r>
      <w:r>
        <w:rPr>
          <w:rFonts w:hint="eastAsia" w:ascii="宋体" w:hAnsi="宋体"/>
          <w:kern w:val="0"/>
          <w:sz w:val="24"/>
        </w:rPr>
        <w:t>、</w:t>
      </w:r>
      <w:r>
        <w:rPr>
          <w:rFonts w:hint="eastAsia" w:ascii="宋体" w:hAnsi="宋体"/>
          <w:kern w:val="0"/>
          <w:sz w:val="24"/>
          <w:lang w:eastAsia="zh-CN"/>
        </w:rPr>
        <w:t>乙方按照半月、季度、半年、年的时间要求对电梯进行保养。</w:t>
      </w:r>
      <w:r>
        <w:rPr>
          <w:rFonts w:hint="eastAsia" w:ascii="宋体" w:hAnsi="宋体"/>
          <w:kern w:val="0"/>
          <w:sz w:val="24"/>
          <w:lang w:eastAsia="zh-TW"/>
        </w:rPr>
        <w:t>甲方若有特殊需要</w:t>
      </w:r>
      <w:r>
        <w:rPr>
          <w:rFonts w:ascii="宋体" w:hAnsi="宋体"/>
          <w:kern w:val="0"/>
          <w:sz w:val="24"/>
        </w:rPr>
        <w:t xml:space="preserve"> ,</w:t>
      </w:r>
      <w:r>
        <w:rPr>
          <w:rFonts w:hint="eastAsia"/>
          <w:sz w:val="24"/>
        </w:rPr>
        <w:t>特别是我院有重大活动或会议之前，乙方无条件派人到现场维护电梯；活动或会议当天，乙方无条件派人到现场执守，确保电梯正常运行。</w:t>
      </w:r>
    </w:p>
    <w:p>
      <w:pPr>
        <w:spacing w:line="480" w:lineRule="auto"/>
        <w:ind w:firstLine="240" w:firstLineChars="100"/>
        <w:rPr>
          <w:rFonts w:hint="eastAsia"/>
          <w:sz w:val="24"/>
        </w:rPr>
      </w:pPr>
      <w:r>
        <w:rPr>
          <w:rFonts w:hint="eastAsia" w:ascii="宋体" w:hAnsi="宋体"/>
          <w:sz w:val="24"/>
        </w:rPr>
        <w:t>2、合同期内，</w:t>
      </w:r>
      <w:r>
        <w:rPr>
          <w:rFonts w:hint="eastAsia"/>
          <w:sz w:val="24"/>
        </w:rPr>
        <w:t>乙方24小时随时响应甲方电梯故障维（抢）修召唤。</w:t>
      </w:r>
      <w:r>
        <w:rPr>
          <w:rFonts w:hint="eastAsia" w:ascii="宋体" w:hAnsi="宋体"/>
          <w:sz w:val="24"/>
        </w:rPr>
        <w:t>电梯在正常使用中发生故障时，</w:t>
      </w:r>
      <w:r>
        <w:rPr>
          <w:rFonts w:hint="eastAsia"/>
          <w:sz w:val="24"/>
        </w:rPr>
        <w:t>乙方维保人员应在接到通知30分钟内必须到达故障现场进行有效维修</w:t>
      </w:r>
      <w:r>
        <w:rPr>
          <w:rFonts w:hint="eastAsia" w:ascii="宋体" w:hAnsi="宋体"/>
          <w:sz w:val="24"/>
        </w:rPr>
        <w:t>。电梯需要应急维修或出现关人情况，乙方在接到电话通知10分钟内必须到达现场进行有效处理，</w:t>
      </w:r>
      <w:r>
        <w:rPr>
          <w:rFonts w:hint="eastAsia"/>
          <w:sz w:val="24"/>
        </w:rPr>
        <w:t>没有按时到达现场处理，造成病人或相关人员、设备出现的意外事故，一切损失由乙方负责。此外，维保人员没有按时到场处理，每次罚款</w:t>
      </w:r>
      <w:r>
        <w:rPr>
          <w:rFonts w:hint="eastAsia"/>
          <w:sz w:val="24"/>
          <w:lang w:eastAsia="zh-CN"/>
        </w:rPr>
        <w:t>至少</w:t>
      </w:r>
      <w:r>
        <w:rPr>
          <w:rFonts w:hint="eastAsia"/>
          <w:sz w:val="24"/>
        </w:rPr>
        <w:t>200元，罚款金额随迟到时间每增加一小时递增100元。罚款金额在维保费内扣减或者单独缴费。</w:t>
      </w:r>
    </w:p>
    <w:p>
      <w:pPr>
        <w:spacing w:line="480" w:lineRule="auto"/>
        <w:ind w:firstLine="480" w:firstLineChars="200"/>
        <w:rPr>
          <w:rFonts w:hint="eastAsia"/>
          <w:sz w:val="24"/>
        </w:rPr>
      </w:pPr>
      <w:r>
        <w:rPr>
          <w:rFonts w:hint="eastAsia"/>
          <w:sz w:val="24"/>
        </w:rPr>
        <w:t>3、乙方如出现不能在规定时间内到达现场次数超过5次及以上，甲方有权单方面终止合约。</w:t>
      </w:r>
    </w:p>
    <w:p>
      <w:pPr>
        <w:autoSpaceDE w:val="0"/>
        <w:autoSpaceDN w:val="0"/>
        <w:adjustRightInd w:val="0"/>
        <w:spacing w:line="360" w:lineRule="auto"/>
        <w:rPr>
          <w:rFonts w:hint="eastAsia" w:ascii="宋体" w:hAnsi="宋体"/>
          <w:kern w:val="0"/>
          <w:sz w:val="24"/>
        </w:rPr>
      </w:pPr>
      <w:r>
        <w:rPr>
          <w:rFonts w:hint="eastAsia" w:ascii="宋体" w:hAnsi="宋体"/>
          <w:kern w:val="0"/>
          <w:sz w:val="24"/>
          <w:lang w:eastAsia="zh-CN"/>
        </w:rPr>
        <w:t>五</w:t>
      </w:r>
      <w:r>
        <w:rPr>
          <w:rFonts w:hint="eastAsia" w:ascii="宋体" w:hAnsi="宋体"/>
          <w:kern w:val="0"/>
          <w:sz w:val="24"/>
          <w:lang w:eastAsia="zh-TW"/>
        </w:rPr>
        <w:t>、乙方的服务内容</w:t>
      </w:r>
    </w:p>
    <w:p>
      <w:pPr>
        <w:autoSpaceDE w:val="0"/>
        <w:autoSpaceDN w:val="0"/>
        <w:adjustRightInd w:val="0"/>
        <w:spacing w:line="360" w:lineRule="auto"/>
        <w:ind w:firstLine="240" w:firstLineChars="100"/>
        <w:rPr>
          <w:rFonts w:hint="eastAsia" w:ascii="宋体" w:hAnsi="宋体"/>
          <w:sz w:val="24"/>
        </w:rPr>
      </w:pPr>
      <w:r>
        <w:rPr>
          <w:rFonts w:hint="eastAsia" w:ascii="宋体" w:hAnsi="宋体"/>
          <w:color w:val="000000"/>
          <w:sz w:val="24"/>
          <w:szCs w:val="24"/>
        </w:rPr>
        <w:t>维保必须符合</w:t>
      </w:r>
      <w:r>
        <w:rPr>
          <w:rFonts w:hint="eastAsia" w:ascii="宋体" w:hAnsi="宋体"/>
          <w:color w:val="000000"/>
          <w:sz w:val="24"/>
          <w:szCs w:val="24"/>
          <w:lang w:eastAsia="zh-CN"/>
        </w:rPr>
        <w:t>现行</w:t>
      </w:r>
      <w:r>
        <w:rPr>
          <w:rFonts w:hint="eastAsia" w:ascii="宋体" w:hAnsi="宋体"/>
          <w:color w:val="000000"/>
          <w:sz w:val="24"/>
          <w:szCs w:val="24"/>
        </w:rPr>
        <w:t>：中华人民共和国特种设备安全法，电梯监督检验和定期检验规则，电梯使用与保养规则等国家相关法律、法规、标准等。如果在维保期以内，国家出台新的维保政策、规则、标准，电梯维保单位维保项目必须做出相应调整，与</w:t>
      </w:r>
      <w:r>
        <w:rPr>
          <w:rFonts w:hint="eastAsia" w:ascii="宋体" w:hAnsi="宋体"/>
          <w:color w:val="000000"/>
          <w:sz w:val="24"/>
          <w:szCs w:val="24"/>
          <w:lang w:eastAsia="zh-CN"/>
        </w:rPr>
        <w:t>现行</w:t>
      </w:r>
      <w:r>
        <w:rPr>
          <w:rFonts w:hint="eastAsia" w:ascii="宋体" w:hAnsi="宋体"/>
          <w:color w:val="000000"/>
          <w:sz w:val="24"/>
          <w:szCs w:val="24"/>
        </w:rPr>
        <w:t>要求一致。</w:t>
      </w:r>
    </w:p>
    <w:p>
      <w:pPr>
        <w:spacing w:line="480" w:lineRule="exact"/>
        <w:ind w:firstLine="240" w:firstLineChars="100"/>
        <w:rPr>
          <w:rFonts w:hint="eastAsia" w:ascii="宋体" w:hAnsi="宋体"/>
          <w:color w:val="auto"/>
          <w:sz w:val="24"/>
        </w:rPr>
      </w:pPr>
      <w:r>
        <w:rPr>
          <w:rFonts w:hint="eastAsia" w:ascii="宋体" w:hAnsi="宋体"/>
          <w:color w:val="auto"/>
          <w:sz w:val="24"/>
          <w:szCs w:val="24"/>
        </w:rPr>
        <w:t>如果由于国家政策原因新增维保项目或者市场监管等相关部门临时要求整治、整改项目，维保方不得另外加收人工、技术、工具费用，该费用已经包含在维保费用中，</w:t>
      </w:r>
      <w:r>
        <w:rPr>
          <w:rFonts w:hint="eastAsia" w:ascii="宋体" w:hAnsi="宋体"/>
          <w:color w:val="auto"/>
          <w:sz w:val="24"/>
          <w:szCs w:val="24"/>
          <w:lang w:eastAsia="zh-CN"/>
        </w:rPr>
        <w:t>乙</w:t>
      </w:r>
      <w:r>
        <w:rPr>
          <w:rFonts w:hint="eastAsia" w:ascii="宋体" w:hAnsi="宋体"/>
          <w:color w:val="auto"/>
          <w:sz w:val="24"/>
          <w:szCs w:val="24"/>
        </w:rPr>
        <w:t>方按照要求实施即可。若涉及更换零配件，价格按照合同执行；如果需要使用砝码等大型设备、器具，维保方只能收取成本费。</w:t>
      </w:r>
    </w:p>
    <w:p>
      <w:pPr>
        <w:autoSpaceDE w:val="0"/>
        <w:autoSpaceDN w:val="0"/>
        <w:adjustRightInd w:val="0"/>
        <w:spacing w:line="360" w:lineRule="auto"/>
        <w:rPr>
          <w:rFonts w:ascii="宋体" w:hAnsi="宋体"/>
          <w:kern w:val="0"/>
          <w:sz w:val="24"/>
        </w:rPr>
      </w:pPr>
      <w:r>
        <w:rPr>
          <w:rFonts w:hint="eastAsia" w:ascii="宋体" w:hAnsi="宋体"/>
          <w:kern w:val="0"/>
          <w:sz w:val="24"/>
          <w:lang w:eastAsia="zh-CN"/>
        </w:rPr>
        <w:t>六</w:t>
      </w:r>
      <w:r>
        <w:rPr>
          <w:rFonts w:hint="eastAsia" w:ascii="宋体" w:hAnsi="宋体"/>
          <w:kern w:val="0"/>
          <w:sz w:val="24"/>
          <w:lang w:eastAsia="zh-TW"/>
        </w:rPr>
        <w:t>、双方责任</w:t>
      </w:r>
      <w:r>
        <w:rPr>
          <w:rFonts w:ascii="宋体" w:hAnsi="宋体"/>
          <w:kern w:val="0"/>
          <w:sz w:val="24"/>
        </w:rPr>
        <w:t xml:space="preserve"> </w:t>
      </w:r>
    </w:p>
    <w:p>
      <w:pPr>
        <w:autoSpaceDE w:val="0"/>
        <w:autoSpaceDN w:val="0"/>
        <w:adjustRightInd w:val="0"/>
        <w:spacing w:line="360" w:lineRule="auto"/>
        <w:rPr>
          <w:rFonts w:hint="eastAsia" w:ascii="宋体" w:hAnsi="宋体"/>
          <w:b/>
          <w:kern w:val="0"/>
          <w:sz w:val="24"/>
        </w:rPr>
      </w:pPr>
      <w:r>
        <w:rPr>
          <w:rFonts w:hint="eastAsia" w:ascii="宋体" w:hAnsi="宋体"/>
          <w:b/>
          <w:kern w:val="0"/>
          <w:sz w:val="24"/>
          <w:lang w:eastAsia="zh-TW"/>
        </w:rPr>
        <w:t>乙方的责任</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rPr>
        <w:t>1、乙方维护、维修作业，应该不影响医院业务，病人就诊，及相关工作人员工作，乙方应</w:t>
      </w:r>
      <w:r>
        <w:rPr>
          <w:rFonts w:hint="eastAsia" w:ascii="宋体" w:hAnsi="宋体"/>
          <w:kern w:val="0"/>
          <w:sz w:val="24"/>
          <w:lang w:eastAsia="zh-TW"/>
        </w:rPr>
        <w:t>在服务时</w:t>
      </w:r>
      <w:r>
        <w:rPr>
          <w:rFonts w:hint="eastAsia" w:ascii="宋体" w:hAnsi="宋体"/>
          <w:kern w:val="0"/>
          <w:sz w:val="24"/>
        </w:rPr>
        <w:t>应</w:t>
      </w:r>
      <w:r>
        <w:rPr>
          <w:rFonts w:hint="eastAsia" w:ascii="宋体" w:hAnsi="宋体"/>
          <w:kern w:val="0"/>
          <w:sz w:val="24"/>
          <w:lang w:eastAsia="zh-TW"/>
        </w:rPr>
        <w:t>严格遵守甲方有关</w:t>
      </w:r>
      <w:r>
        <w:rPr>
          <w:rFonts w:hint="eastAsia" w:ascii="宋体" w:hAnsi="宋体"/>
          <w:kern w:val="0"/>
          <w:sz w:val="24"/>
        </w:rPr>
        <w:t>时间安排、</w:t>
      </w:r>
      <w:r>
        <w:rPr>
          <w:rFonts w:hint="eastAsia" w:ascii="宋体" w:hAnsi="宋体"/>
          <w:kern w:val="0"/>
          <w:sz w:val="24"/>
          <w:lang w:eastAsia="zh-TW"/>
        </w:rPr>
        <w:t>规章制度</w:t>
      </w:r>
      <w:r>
        <w:rPr>
          <w:rFonts w:hint="eastAsia" w:ascii="宋体" w:hAnsi="宋体"/>
          <w:kern w:val="0"/>
          <w:sz w:val="24"/>
        </w:rPr>
        <w:t>进行作业</w:t>
      </w:r>
      <w:r>
        <w:rPr>
          <w:rFonts w:hint="eastAsia" w:ascii="宋体" w:hAnsi="宋体"/>
          <w:kern w:val="0"/>
          <w:sz w:val="24"/>
          <w:lang w:eastAsia="zh-TW"/>
        </w:rPr>
        <w:t>。</w:t>
      </w:r>
    </w:p>
    <w:p>
      <w:pPr>
        <w:spacing w:line="480" w:lineRule="auto"/>
        <w:ind w:firstLine="480" w:firstLineChars="200"/>
        <w:rPr>
          <w:rFonts w:hint="eastAsia"/>
          <w:sz w:val="24"/>
        </w:rPr>
      </w:pPr>
      <w:r>
        <w:rPr>
          <w:rFonts w:ascii="宋体" w:hAnsi="宋体"/>
          <w:kern w:val="0"/>
          <w:sz w:val="24"/>
        </w:rPr>
        <w:t>2</w:t>
      </w:r>
      <w:r>
        <w:rPr>
          <w:rFonts w:hint="eastAsia" w:ascii="宋体" w:hAnsi="宋体"/>
          <w:kern w:val="0"/>
          <w:sz w:val="24"/>
        </w:rPr>
        <w:t>、电梯的维护保养由</w:t>
      </w:r>
      <w:r>
        <w:rPr>
          <w:rFonts w:hint="eastAsia" w:ascii="宋体" w:hAnsi="宋体"/>
          <w:kern w:val="0"/>
          <w:sz w:val="24"/>
          <w:lang w:eastAsia="zh-CN"/>
        </w:rPr>
        <w:t>乙方</w:t>
      </w:r>
      <w:r>
        <w:rPr>
          <w:rFonts w:hint="eastAsia" w:ascii="宋体" w:hAnsi="宋体"/>
          <w:kern w:val="0"/>
          <w:sz w:val="24"/>
        </w:rPr>
        <w:t>具有电梯维保资格的维护人员来完成，并</w:t>
      </w:r>
      <w:r>
        <w:rPr>
          <w:rFonts w:hint="eastAsia" w:ascii="宋体" w:hAnsi="宋体"/>
          <w:kern w:val="0"/>
          <w:sz w:val="24"/>
          <w:lang w:eastAsia="zh-TW"/>
        </w:rPr>
        <w:t>严格按照</w:t>
      </w:r>
      <w:r>
        <w:rPr>
          <w:rFonts w:hint="eastAsia" w:ascii="宋体" w:hAnsi="宋体"/>
          <w:kern w:val="0"/>
          <w:sz w:val="24"/>
        </w:rPr>
        <w:t>《</w:t>
      </w:r>
      <w:r>
        <w:rPr>
          <w:rFonts w:hint="eastAsia" w:ascii="宋体"/>
          <w:b/>
          <w:bCs/>
          <w:sz w:val="24"/>
        </w:rPr>
        <w:t>电梯售后服务规范表</w:t>
      </w:r>
      <w:r>
        <w:rPr>
          <w:rFonts w:hint="eastAsia" w:ascii="宋体" w:hAnsi="宋体"/>
          <w:kern w:val="0"/>
          <w:sz w:val="24"/>
        </w:rPr>
        <w:t>》（附件1）及国家相关</w:t>
      </w:r>
      <w:r>
        <w:rPr>
          <w:rFonts w:hint="eastAsia" w:ascii="宋体" w:hAnsi="宋体"/>
          <w:kern w:val="0"/>
          <w:sz w:val="24"/>
          <w:lang w:eastAsia="zh-TW"/>
        </w:rPr>
        <w:t>规定的内容提供服务</w:t>
      </w:r>
      <w:r>
        <w:rPr>
          <w:rFonts w:hint="eastAsia" w:ascii="宋体" w:hAnsi="宋体"/>
          <w:kern w:val="0"/>
          <w:sz w:val="24"/>
        </w:rPr>
        <w:t>, 对</w:t>
      </w:r>
      <w:r>
        <w:rPr>
          <w:rFonts w:hint="eastAsia" w:ascii="宋体" w:hAnsi="宋体"/>
          <w:kern w:val="0"/>
          <w:sz w:val="24"/>
          <w:lang w:eastAsia="zh-TW"/>
        </w:rPr>
        <w:t>所列的项目进行清洁、润滑、调整和检查等保养工作。</w:t>
      </w:r>
    </w:p>
    <w:p>
      <w:pPr>
        <w:autoSpaceDE w:val="0"/>
        <w:autoSpaceDN w:val="0"/>
        <w:adjustRightInd w:val="0"/>
        <w:spacing w:line="540" w:lineRule="exact"/>
        <w:ind w:firstLine="480" w:firstLineChars="200"/>
        <w:rPr>
          <w:rFonts w:hint="eastAsia" w:ascii="宋体" w:hAnsi="宋体"/>
          <w:kern w:val="0"/>
          <w:sz w:val="24"/>
        </w:rPr>
      </w:pPr>
      <w:r>
        <w:rPr>
          <w:rFonts w:ascii="宋体" w:hAnsi="宋体"/>
          <w:kern w:val="0"/>
          <w:sz w:val="24"/>
        </w:rPr>
        <w:t>3</w:t>
      </w:r>
      <w:r>
        <w:rPr>
          <w:rFonts w:hint="eastAsia" w:ascii="宋体" w:hAnsi="宋体"/>
          <w:kern w:val="0"/>
          <w:sz w:val="24"/>
        </w:rPr>
        <w:t>、</w:t>
      </w:r>
      <w:r>
        <w:rPr>
          <w:rFonts w:hint="eastAsia" w:ascii="宋体" w:hAnsi="宋体"/>
          <w:kern w:val="0"/>
          <w:sz w:val="24"/>
          <w:lang w:eastAsia="zh-TW"/>
        </w:rPr>
        <w:t>按照本合同约定的</w:t>
      </w:r>
      <w:r>
        <w:rPr>
          <w:rFonts w:ascii="宋体" w:hAnsi="宋体"/>
          <w:kern w:val="0"/>
          <w:sz w:val="24"/>
        </w:rPr>
        <w:t xml:space="preserve">, </w:t>
      </w:r>
      <w:r>
        <w:rPr>
          <w:rFonts w:hint="eastAsia" w:ascii="宋体" w:hAnsi="宋体"/>
          <w:kern w:val="0"/>
          <w:sz w:val="24"/>
          <w:lang w:eastAsia="zh-TW"/>
        </w:rPr>
        <w:t>提供确保整机正常和安全运行所需的备品配件。</w:t>
      </w:r>
    </w:p>
    <w:p>
      <w:pPr>
        <w:autoSpaceDE w:val="0"/>
        <w:autoSpaceDN w:val="0"/>
        <w:adjustRightInd w:val="0"/>
        <w:spacing w:line="540" w:lineRule="exact"/>
        <w:ind w:firstLine="480" w:firstLineChars="200"/>
        <w:rPr>
          <w:rFonts w:ascii="宋体" w:hAnsi="宋体"/>
          <w:kern w:val="0"/>
          <w:sz w:val="24"/>
        </w:rPr>
      </w:pPr>
      <w:r>
        <w:rPr>
          <w:rFonts w:ascii="宋体" w:hAnsi="宋体"/>
          <w:kern w:val="0"/>
          <w:sz w:val="24"/>
        </w:rPr>
        <w:t>4</w:t>
      </w:r>
      <w:r>
        <w:rPr>
          <w:rFonts w:hint="eastAsia" w:ascii="宋体" w:hAnsi="宋体"/>
          <w:kern w:val="0"/>
          <w:sz w:val="24"/>
        </w:rPr>
        <w:t>、</w:t>
      </w:r>
      <w:r>
        <w:rPr>
          <w:rFonts w:hint="eastAsia" w:ascii="宋体" w:hAnsi="宋体"/>
          <w:kern w:val="0"/>
          <w:sz w:val="24"/>
          <w:lang w:eastAsia="zh-TW"/>
        </w:rPr>
        <w:t>配合政府主管部门对有效服务期内的电梯设备实施年检</w:t>
      </w:r>
      <w:r>
        <w:rPr>
          <w:rFonts w:ascii="宋体" w:hAnsi="宋体"/>
          <w:kern w:val="0"/>
          <w:sz w:val="24"/>
        </w:rPr>
        <w:t xml:space="preserve"> , </w:t>
      </w:r>
      <w:r>
        <w:rPr>
          <w:rFonts w:hint="eastAsia" w:ascii="宋体" w:hAnsi="宋体"/>
          <w:kern w:val="0"/>
          <w:sz w:val="24"/>
          <w:lang w:eastAsia="zh-TW"/>
        </w:rPr>
        <w:t>对政府主管部门提出的保养环节、部位的整改内容、项目及时提供免费整改。</w:t>
      </w:r>
      <w:r>
        <w:rPr>
          <w:rFonts w:hint="eastAsia"/>
          <w:sz w:val="24"/>
        </w:rPr>
        <w:t>电梯每年年检，甲方委托由乙方办理相关手续。</w:t>
      </w:r>
    </w:p>
    <w:p>
      <w:pPr>
        <w:autoSpaceDE w:val="0"/>
        <w:autoSpaceDN w:val="0"/>
        <w:adjustRightInd w:val="0"/>
        <w:spacing w:line="540" w:lineRule="exact"/>
        <w:ind w:firstLine="480" w:firstLineChars="200"/>
        <w:jc w:val="left"/>
        <w:rPr>
          <w:rFonts w:hint="eastAsia" w:ascii="宋体" w:hAnsi="宋体"/>
          <w:kern w:val="0"/>
          <w:sz w:val="24"/>
        </w:rPr>
      </w:pPr>
      <w:r>
        <w:rPr>
          <w:rFonts w:ascii="宋体" w:hAnsi="宋体"/>
          <w:kern w:val="0"/>
          <w:sz w:val="24"/>
        </w:rPr>
        <w:t>5</w:t>
      </w:r>
      <w:r>
        <w:rPr>
          <w:rFonts w:hint="eastAsia" w:ascii="宋体" w:hAnsi="宋体"/>
          <w:kern w:val="0"/>
          <w:sz w:val="24"/>
        </w:rPr>
        <w:t>、</w:t>
      </w:r>
      <w:r>
        <w:rPr>
          <w:rFonts w:hint="eastAsia" w:ascii="宋体" w:hAnsi="宋体"/>
          <w:kern w:val="0"/>
          <w:sz w:val="24"/>
          <w:lang w:eastAsia="zh-TW"/>
        </w:rPr>
        <w:t>在乙方按本合同规定提供有效服务期内</w:t>
      </w:r>
      <w:r>
        <w:rPr>
          <w:rFonts w:ascii="宋体" w:hAnsi="宋体"/>
          <w:kern w:val="0"/>
          <w:sz w:val="24"/>
        </w:rPr>
        <w:t xml:space="preserve"> , </w:t>
      </w:r>
      <w:r>
        <w:rPr>
          <w:rFonts w:hint="eastAsia" w:ascii="宋体" w:hAnsi="宋体"/>
          <w:kern w:val="0"/>
          <w:sz w:val="24"/>
          <w:lang w:eastAsia="zh-TW"/>
        </w:rPr>
        <w:t>对存在的非保养责任故障</w:t>
      </w:r>
      <w:r>
        <w:rPr>
          <w:rFonts w:ascii="宋体" w:hAnsi="宋体"/>
          <w:kern w:val="0"/>
          <w:sz w:val="24"/>
        </w:rPr>
        <w:t xml:space="preserve"> , </w:t>
      </w:r>
      <w:r>
        <w:rPr>
          <w:rFonts w:hint="eastAsia" w:ascii="宋体" w:hAnsi="宋体"/>
          <w:kern w:val="0"/>
          <w:sz w:val="24"/>
          <w:lang w:eastAsia="zh-TW"/>
        </w:rPr>
        <w:t>应及时书面通知甲方整改</w:t>
      </w:r>
      <w:r>
        <w:rPr>
          <w:rFonts w:ascii="宋体" w:hAnsi="宋体"/>
          <w:kern w:val="0"/>
          <w:sz w:val="24"/>
        </w:rPr>
        <w:t xml:space="preserve"> </w:t>
      </w:r>
      <w:r>
        <w:rPr>
          <w:rFonts w:hint="eastAsia" w:ascii="宋体" w:hAnsi="宋体"/>
          <w:kern w:val="0"/>
          <w:sz w:val="24"/>
        </w:rPr>
        <w:t>，</w:t>
      </w:r>
      <w:r>
        <w:rPr>
          <w:rFonts w:hint="eastAsia" w:ascii="宋体" w:hAnsi="宋体"/>
          <w:kern w:val="0"/>
          <w:sz w:val="24"/>
          <w:lang w:eastAsia="zh-TW"/>
        </w:rPr>
        <w:t>当存在的故障可能严重影响电梯设备安全运行时</w:t>
      </w:r>
      <w:r>
        <w:rPr>
          <w:rFonts w:ascii="宋体" w:hAnsi="宋体"/>
          <w:kern w:val="0"/>
          <w:sz w:val="24"/>
        </w:rPr>
        <w:t xml:space="preserve"> , </w:t>
      </w:r>
      <w:r>
        <w:rPr>
          <w:rFonts w:hint="eastAsia" w:ascii="宋体" w:hAnsi="宋体"/>
          <w:kern w:val="0"/>
          <w:sz w:val="24"/>
          <w:lang w:eastAsia="zh-TW"/>
        </w:rPr>
        <w:t>应及时通知甲方暂时停止使用该电梯设备。</w:t>
      </w:r>
    </w:p>
    <w:p>
      <w:pPr>
        <w:spacing w:line="480" w:lineRule="auto"/>
        <w:ind w:firstLine="480" w:firstLineChars="200"/>
        <w:rPr>
          <w:rFonts w:hint="eastAsia"/>
          <w:sz w:val="24"/>
        </w:rPr>
      </w:pPr>
      <w:r>
        <w:rPr>
          <w:rFonts w:hint="eastAsia"/>
          <w:sz w:val="24"/>
        </w:rPr>
        <w:t>6、乙方</w:t>
      </w:r>
      <w:r>
        <w:rPr>
          <w:rFonts w:hint="eastAsia" w:ascii="宋体" w:hAnsi="宋体"/>
          <w:color w:val="000000"/>
          <w:sz w:val="24"/>
          <w:szCs w:val="21"/>
        </w:rPr>
        <w:t>作业时不得损坏设备设施，一旦损坏照价赔偿。乙方在维保、维修过程中，乙方负责设置现场安全警示等安全标志，乙方作业人员须做好安全防护，乙方的安全责任自负，并且现场施工引起的一切安全问题由乙方负责。现场施工完以后，乙方应该立即打扫施工现场，保持现场卫生整洁、卫生、干净，如果乙方现场作业人员不立即打扫现场，甲方有权处罚乙方，每次200元。</w:t>
      </w:r>
    </w:p>
    <w:p>
      <w:pPr>
        <w:spacing w:line="480" w:lineRule="auto"/>
        <w:ind w:firstLine="480" w:firstLineChars="200"/>
        <w:rPr>
          <w:rFonts w:hint="eastAsia"/>
          <w:sz w:val="24"/>
        </w:rPr>
      </w:pPr>
      <w:r>
        <w:rPr>
          <w:rFonts w:hint="eastAsia"/>
          <w:sz w:val="24"/>
        </w:rPr>
        <w:t>7、乙方应建立配件库房，需更换零配件才能解决的故障，应尽快解决存在的问题。若不能在24小时到位的零配件，乙方应采用可靠的替代品确保电梯24小时内恢复正常运行。如果故障电梯在24小时内不能正常运行且无合理原因，影响甲方使用，每延迟1天，扣款300元，罚款按天累积计算，罚款金额在维保费内扣减或单独缴费，乙方承担由此产生的一切后果。</w:t>
      </w:r>
    </w:p>
    <w:p>
      <w:pPr>
        <w:spacing w:line="480" w:lineRule="auto"/>
        <w:ind w:firstLine="360" w:firstLineChars="150"/>
        <w:rPr>
          <w:rFonts w:hint="eastAsia" w:eastAsia="宋体"/>
          <w:sz w:val="24"/>
          <w:lang w:eastAsia="zh-CN"/>
        </w:rPr>
      </w:pPr>
      <w:r>
        <w:rPr>
          <w:rFonts w:hint="eastAsia"/>
          <w:sz w:val="24"/>
        </w:rPr>
        <w:t>8、由于乙方的原因，违法、违规作业被相关行政机关处罚，乙方自行承担全部责任，与我院无关，如果乙方的违法、违规行为对我院造成损失，乙方应承担全部责任。</w:t>
      </w:r>
      <w:r>
        <w:rPr>
          <w:rFonts w:hint="eastAsia"/>
          <w:sz w:val="24"/>
          <w:lang w:eastAsia="zh-CN"/>
        </w:rPr>
        <w:t>并且乙方有权解除合同。</w:t>
      </w:r>
    </w:p>
    <w:p>
      <w:pPr>
        <w:spacing w:line="480" w:lineRule="auto"/>
        <w:ind w:firstLine="360" w:firstLineChars="150"/>
        <w:rPr>
          <w:sz w:val="24"/>
        </w:rPr>
      </w:pPr>
      <w:r>
        <w:rPr>
          <w:rFonts w:hint="eastAsia"/>
          <w:sz w:val="24"/>
        </w:rPr>
        <w:t>9、我院或者市场监管相关部门不定期检查维保情况，如果发现没有按照条款、法律、法规维保，或者维保不到位，院方有权处罚乙方，发现一次，按照当时维保的情况，罚款</w:t>
      </w:r>
      <w:r>
        <w:rPr>
          <w:sz w:val="24"/>
        </w:rPr>
        <w:t>100</w:t>
      </w:r>
      <w:r>
        <w:rPr>
          <w:rFonts w:hint="eastAsia"/>
          <w:sz w:val="24"/>
        </w:rPr>
        <w:t>至</w:t>
      </w:r>
      <w:r>
        <w:rPr>
          <w:rFonts w:hint="eastAsia"/>
          <w:sz w:val="24"/>
          <w:lang w:val="en-US" w:eastAsia="zh-CN"/>
        </w:rPr>
        <w:t>5</w:t>
      </w:r>
      <w:r>
        <w:rPr>
          <w:sz w:val="24"/>
        </w:rPr>
        <w:t>00</w:t>
      </w:r>
      <w:r>
        <w:rPr>
          <w:rFonts w:hint="eastAsia"/>
          <w:sz w:val="24"/>
        </w:rPr>
        <w:t>元不等。</w:t>
      </w:r>
      <w:r>
        <w:rPr>
          <w:rFonts w:hint="eastAsia"/>
          <w:sz w:val="24"/>
          <w:lang w:eastAsia="zh-CN"/>
        </w:rPr>
        <w:t>乙</w:t>
      </w:r>
      <w:r>
        <w:rPr>
          <w:rFonts w:hint="eastAsia"/>
          <w:sz w:val="24"/>
        </w:rPr>
        <w:t>方还必须承担由此产生的一切责任。</w:t>
      </w:r>
    </w:p>
    <w:p>
      <w:pPr>
        <w:spacing w:line="480" w:lineRule="auto"/>
        <w:ind w:firstLine="480" w:firstLineChars="200"/>
        <w:rPr>
          <w:rFonts w:hint="eastAsia" w:eastAsia="宋体"/>
          <w:sz w:val="24"/>
          <w:lang w:eastAsia="zh-CN"/>
        </w:rPr>
      </w:pPr>
      <w:r>
        <w:rPr>
          <w:rFonts w:hint="eastAsia"/>
          <w:sz w:val="24"/>
        </w:rPr>
        <w:t>10、乙方不得将维保业务转包、分包，否则，甲方将立即终止合同。</w:t>
      </w:r>
      <w:r>
        <w:rPr>
          <w:rFonts w:hint="eastAsia"/>
          <w:sz w:val="24"/>
          <w:lang w:eastAsia="zh-CN"/>
        </w:rPr>
        <w:t>双方签订的合同无效。</w:t>
      </w:r>
    </w:p>
    <w:p>
      <w:pPr>
        <w:spacing w:line="480" w:lineRule="auto"/>
        <w:ind w:firstLine="360" w:firstLineChars="150"/>
        <w:rPr>
          <w:rFonts w:hint="default" w:eastAsia="宋体"/>
          <w:sz w:val="24"/>
          <w:lang w:val="en-US" w:eastAsia="zh-CN"/>
        </w:rPr>
      </w:pPr>
      <w:r>
        <w:rPr>
          <w:rFonts w:hint="eastAsia"/>
          <w:sz w:val="24"/>
        </w:rPr>
        <w:t>11、</w:t>
      </w:r>
      <w:r>
        <w:rPr>
          <w:rFonts w:hint="eastAsia"/>
          <w:sz w:val="24"/>
          <w:lang w:val="en-US" w:eastAsia="zh-CN"/>
        </w:rPr>
        <w:t xml:space="preserve">  </w:t>
      </w:r>
      <w:r>
        <w:rPr>
          <w:rFonts w:hint="eastAsia"/>
          <w:sz w:val="24"/>
        </w:rPr>
        <w:t>在合同</w:t>
      </w:r>
      <w:r>
        <w:rPr>
          <w:rFonts w:hint="eastAsia"/>
          <w:sz w:val="24"/>
          <w:lang w:eastAsia="zh-CN"/>
        </w:rPr>
        <w:t>服务期限内</w:t>
      </w:r>
      <w:r>
        <w:rPr>
          <w:rFonts w:hint="eastAsia"/>
          <w:sz w:val="24"/>
        </w:rPr>
        <w:t>，如果乙方维保不满足合同要求或者不符合</w:t>
      </w:r>
      <w:r>
        <w:rPr>
          <w:rFonts w:hint="eastAsia"/>
          <w:sz w:val="24"/>
          <w:lang w:eastAsia="zh-CN"/>
        </w:rPr>
        <w:t>现行</w:t>
      </w:r>
      <w:r>
        <w:rPr>
          <w:rFonts w:hint="eastAsia"/>
          <w:sz w:val="24"/>
        </w:rPr>
        <w:t>电梯维保相关法律、法规、规则等要求，甲方有权单方面解除本合同，并追究乙方责任。</w:t>
      </w:r>
    </w:p>
    <w:p>
      <w:pPr>
        <w:spacing w:line="480" w:lineRule="auto"/>
        <w:ind w:firstLine="480" w:firstLineChars="200"/>
        <w:rPr>
          <w:rFonts w:hint="eastAsia" w:eastAsia="宋体"/>
          <w:sz w:val="24"/>
          <w:lang w:val="en-US" w:eastAsia="zh-CN"/>
        </w:rPr>
      </w:pPr>
      <w:r>
        <w:rPr>
          <w:rFonts w:hint="eastAsia"/>
          <w:sz w:val="24"/>
          <w:lang w:val="en-US" w:eastAsia="zh-CN"/>
        </w:rPr>
        <w:t>12、乙方</w:t>
      </w:r>
      <w:r>
        <w:rPr>
          <w:rFonts w:hint="eastAsia"/>
          <w:sz w:val="24"/>
        </w:rPr>
        <w:t>无证上岗，违规操作，乙方承担一切后果。</w:t>
      </w:r>
      <w:r>
        <w:rPr>
          <w:rFonts w:hint="eastAsia"/>
          <w:sz w:val="24"/>
          <w:lang w:eastAsia="zh-CN"/>
        </w:rPr>
        <w:t>甲方发现两次及以上，甲方有权终止合同。</w:t>
      </w:r>
    </w:p>
    <w:p>
      <w:pPr>
        <w:spacing w:line="480" w:lineRule="auto"/>
        <w:ind w:firstLine="240" w:firstLineChars="100"/>
        <w:rPr>
          <w:rFonts w:hint="eastAsia"/>
          <w:sz w:val="24"/>
        </w:rPr>
      </w:pPr>
      <w:r>
        <w:rPr>
          <w:rFonts w:hint="eastAsia"/>
          <w:sz w:val="24"/>
        </w:rPr>
        <w:t>1</w:t>
      </w:r>
      <w:r>
        <w:rPr>
          <w:rFonts w:hint="eastAsia"/>
          <w:sz w:val="24"/>
          <w:lang w:val="en-US" w:eastAsia="zh-CN"/>
        </w:rPr>
        <w:t>3</w:t>
      </w:r>
      <w:r>
        <w:rPr>
          <w:rFonts w:hint="eastAsia"/>
          <w:sz w:val="24"/>
        </w:rPr>
        <w:t>、乙方在签订合同以后，不得随意单方面终止合同。如果乙方随意终止合同，院方不支付</w:t>
      </w:r>
      <w:r>
        <w:rPr>
          <w:rFonts w:hint="eastAsia"/>
          <w:sz w:val="24"/>
          <w:lang w:eastAsia="zh-CN"/>
        </w:rPr>
        <w:t>本</w:t>
      </w:r>
      <w:r>
        <w:rPr>
          <w:rFonts w:hint="eastAsia"/>
          <w:sz w:val="24"/>
        </w:rPr>
        <w:t>合同中约定的维保</w:t>
      </w:r>
      <w:r>
        <w:rPr>
          <w:rFonts w:hint="eastAsia"/>
          <w:sz w:val="24"/>
          <w:lang w:eastAsia="zh-CN"/>
        </w:rPr>
        <w:t>费用</w:t>
      </w:r>
      <w:r>
        <w:rPr>
          <w:rFonts w:hint="eastAsia"/>
          <w:sz w:val="24"/>
        </w:rPr>
        <w:t>和更换的配件</w:t>
      </w:r>
      <w:r>
        <w:rPr>
          <w:rFonts w:hint="eastAsia"/>
          <w:sz w:val="24"/>
          <w:lang w:eastAsia="zh-CN"/>
        </w:rPr>
        <w:t>费用</w:t>
      </w:r>
      <w:r>
        <w:rPr>
          <w:rFonts w:hint="eastAsia"/>
          <w:sz w:val="24"/>
        </w:rPr>
        <w:t>，如乙方该行为对我院造成损失，乙方应当赔偿。</w:t>
      </w:r>
    </w:p>
    <w:p>
      <w:pPr>
        <w:spacing w:line="480" w:lineRule="auto"/>
        <w:ind w:firstLine="240" w:firstLineChars="100"/>
        <w:rPr>
          <w:rFonts w:hint="default" w:eastAsia="宋体"/>
          <w:sz w:val="24"/>
          <w:lang w:val="en-US" w:eastAsia="zh-CN"/>
        </w:rPr>
      </w:pPr>
      <w:r>
        <w:rPr>
          <w:rFonts w:hint="eastAsia"/>
          <w:sz w:val="24"/>
          <w:lang w:val="en-US" w:eastAsia="zh-CN"/>
        </w:rPr>
        <w:t>14、</w:t>
      </w:r>
      <w:r>
        <w:rPr>
          <w:rFonts w:hint="eastAsia"/>
          <w:sz w:val="24"/>
        </w:rPr>
        <w:t>每次定期维保或应急</w:t>
      </w:r>
      <w:r>
        <w:rPr>
          <w:rFonts w:hint="eastAsia"/>
          <w:sz w:val="24"/>
          <w:lang w:eastAsia="zh-CN"/>
        </w:rPr>
        <w:t>维修</w:t>
      </w:r>
      <w:r>
        <w:rPr>
          <w:rFonts w:hint="eastAsia"/>
          <w:sz w:val="24"/>
        </w:rPr>
        <w:t>时，乙方必须</w:t>
      </w:r>
      <w:r>
        <w:rPr>
          <w:rFonts w:hint="eastAsia"/>
          <w:sz w:val="24"/>
          <w:lang w:eastAsia="zh-CN"/>
        </w:rPr>
        <w:t>提前</w:t>
      </w:r>
      <w:r>
        <w:rPr>
          <w:rFonts w:hint="eastAsia"/>
          <w:sz w:val="24"/>
        </w:rPr>
        <w:t>告知甲方，维修后，乙方须</w:t>
      </w:r>
      <w:r>
        <w:rPr>
          <w:rFonts w:hint="eastAsia"/>
          <w:sz w:val="24"/>
          <w:lang w:eastAsia="zh-CN"/>
        </w:rPr>
        <w:t>立即</w:t>
      </w:r>
      <w:r>
        <w:rPr>
          <w:rFonts w:hint="eastAsia"/>
          <w:sz w:val="24"/>
        </w:rPr>
        <w:t>告知甲方维保、维修情况，并规范记录情况，</w:t>
      </w:r>
      <w:r>
        <w:rPr>
          <w:rFonts w:hint="eastAsia"/>
          <w:sz w:val="24"/>
          <w:lang w:eastAsia="zh-CN"/>
        </w:rPr>
        <w:t>将维保记录及时（</w:t>
      </w:r>
      <w:r>
        <w:rPr>
          <w:rFonts w:hint="eastAsia"/>
          <w:sz w:val="24"/>
          <w:lang w:val="en-US" w:eastAsia="zh-CN"/>
        </w:rPr>
        <w:t>2日内</w:t>
      </w:r>
      <w:r>
        <w:rPr>
          <w:rFonts w:hint="eastAsia"/>
          <w:sz w:val="24"/>
          <w:lang w:eastAsia="zh-CN"/>
        </w:rPr>
        <w:t>）交给甲方签字、存档。</w:t>
      </w:r>
      <w:r>
        <w:rPr>
          <w:rFonts w:hint="eastAsia"/>
          <w:sz w:val="24"/>
          <w:lang w:val="en-US" w:eastAsia="zh-CN"/>
        </w:rPr>
        <w:t xml:space="preserve"> </w:t>
      </w:r>
      <w:r>
        <w:rPr>
          <w:rFonts w:hint="eastAsia"/>
          <w:sz w:val="24"/>
        </w:rPr>
        <w:t>否则视为本次维保、维修没有实施</w:t>
      </w:r>
      <w:r>
        <w:rPr>
          <w:rFonts w:hint="eastAsia"/>
          <w:sz w:val="24"/>
          <w:lang w:eastAsia="zh-CN"/>
        </w:rPr>
        <w:t>。若违规，每次至少</w:t>
      </w:r>
      <w:r>
        <w:rPr>
          <w:rFonts w:hint="eastAsia"/>
          <w:sz w:val="24"/>
        </w:rPr>
        <w:t>处罚</w:t>
      </w:r>
      <w:r>
        <w:rPr>
          <w:rFonts w:hint="eastAsia"/>
          <w:sz w:val="24"/>
          <w:lang w:eastAsia="zh-CN"/>
        </w:rPr>
        <w:t>乙方</w:t>
      </w:r>
      <w:r>
        <w:rPr>
          <w:rFonts w:hint="eastAsia"/>
          <w:sz w:val="24"/>
        </w:rPr>
        <w:t>200元。</w:t>
      </w:r>
    </w:p>
    <w:p>
      <w:pPr>
        <w:autoSpaceDE w:val="0"/>
        <w:autoSpaceDN w:val="0"/>
        <w:adjustRightInd w:val="0"/>
        <w:spacing w:line="540" w:lineRule="exact"/>
        <w:rPr>
          <w:rFonts w:hint="eastAsia" w:ascii="宋体" w:hAnsi="宋体"/>
          <w:b/>
          <w:kern w:val="0"/>
          <w:sz w:val="24"/>
        </w:rPr>
      </w:pPr>
      <w:r>
        <w:rPr>
          <w:rFonts w:hint="eastAsia" w:ascii="宋体" w:hAnsi="宋体"/>
          <w:b/>
          <w:kern w:val="0"/>
          <w:sz w:val="24"/>
          <w:lang w:eastAsia="zh-TW"/>
        </w:rPr>
        <w:t>甲方的责任</w:t>
      </w:r>
    </w:p>
    <w:p>
      <w:pPr>
        <w:autoSpaceDE w:val="0"/>
        <w:autoSpaceDN w:val="0"/>
        <w:adjustRightInd w:val="0"/>
        <w:spacing w:line="540" w:lineRule="exact"/>
        <w:ind w:firstLine="480" w:firstLineChars="200"/>
        <w:rPr>
          <w:rFonts w:hint="eastAsia" w:ascii="宋体" w:hAnsi="宋体"/>
          <w:kern w:val="0"/>
          <w:sz w:val="24"/>
        </w:rPr>
      </w:pPr>
      <w:r>
        <w:rPr>
          <w:rFonts w:ascii="宋体" w:hAnsi="宋体"/>
          <w:kern w:val="0"/>
          <w:sz w:val="24"/>
        </w:rPr>
        <w:t>1</w:t>
      </w:r>
      <w:r>
        <w:rPr>
          <w:rFonts w:hint="eastAsia" w:ascii="宋体" w:hAnsi="宋体"/>
          <w:kern w:val="0"/>
          <w:sz w:val="24"/>
        </w:rPr>
        <w:t>、</w:t>
      </w:r>
      <w:r>
        <w:rPr>
          <w:rFonts w:hint="eastAsia" w:ascii="宋体" w:hAnsi="宋体"/>
          <w:kern w:val="0"/>
          <w:sz w:val="24"/>
          <w:lang w:eastAsia="zh-TW"/>
        </w:rPr>
        <w:t>甲方应按照</w:t>
      </w:r>
      <w:r>
        <w:rPr>
          <w:rFonts w:hint="eastAsia" w:ascii="宋体" w:hAnsi="宋体"/>
          <w:kern w:val="0"/>
          <w:sz w:val="24"/>
        </w:rPr>
        <w:t>《中华人民共和国特种设备安全法》</w:t>
      </w:r>
      <w:r>
        <w:rPr>
          <w:rFonts w:hint="eastAsia" w:ascii="宋体" w:hAnsi="宋体"/>
          <w:kern w:val="0"/>
          <w:sz w:val="24"/>
          <w:lang w:eastAsia="zh-TW"/>
        </w:rPr>
        <w:t>的规定</w:t>
      </w:r>
      <w:r>
        <w:rPr>
          <w:rFonts w:ascii="宋体" w:hAnsi="宋体"/>
          <w:kern w:val="0"/>
          <w:sz w:val="24"/>
        </w:rPr>
        <w:t xml:space="preserve"> , </w:t>
      </w:r>
      <w:r>
        <w:rPr>
          <w:rFonts w:hint="eastAsia" w:ascii="宋体" w:hAnsi="宋体"/>
          <w:kern w:val="0"/>
          <w:sz w:val="24"/>
          <w:lang w:eastAsia="zh-TW"/>
        </w:rPr>
        <w:t>履行电梯使用单位的义务。</w:t>
      </w:r>
    </w:p>
    <w:p>
      <w:pPr>
        <w:autoSpaceDE w:val="0"/>
        <w:autoSpaceDN w:val="0"/>
        <w:adjustRightInd w:val="0"/>
        <w:spacing w:line="540" w:lineRule="exact"/>
        <w:ind w:firstLine="480" w:firstLineChars="200"/>
        <w:rPr>
          <w:rFonts w:hint="eastAsia" w:ascii="宋体" w:hAnsi="宋体"/>
          <w:kern w:val="0"/>
          <w:sz w:val="24"/>
        </w:rPr>
      </w:pPr>
      <w:r>
        <w:rPr>
          <w:rFonts w:ascii="宋体" w:hAnsi="宋体"/>
          <w:kern w:val="0"/>
          <w:sz w:val="24"/>
        </w:rPr>
        <w:t>2</w:t>
      </w:r>
      <w:r>
        <w:rPr>
          <w:rFonts w:hint="eastAsia" w:ascii="宋体" w:hAnsi="宋体"/>
          <w:kern w:val="0"/>
          <w:sz w:val="24"/>
        </w:rPr>
        <w:t>、</w:t>
      </w:r>
      <w:r>
        <w:rPr>
          <w:rFonts w:hint="eastAsia" w:ascii="宋体" w:hAnsi="宋体"/>
          <w:kern w:val="0"/>
          <w:sz w:val="24"/>
          <w:lang w:eastAsia="zh-TW"/>
        </w:rPr>
        <w:t>负责按照政府主管部门对电梯设备日常管理的法规、规定和要求进行全面管理</w:t>
      </w:r>
      <w:r>
        <w:rPr>
          <w:rFonts w:ascii="宋体" w:hAnsi="宋体"/>
          <w:kern w:val="0"/>
          <w:sz w:val="24"/>
        </w:rPr>
        <w:t xml:space="preserve"> , </w:t>
      </w:r>
      <w:r>
        <w:rPr>
          <w:rFonts w:hint="eastAsia" w:ascii="宋体" w:hAnsi="宋体"/>
          <w:kern w:val="0"/>
          <w:sz w:val="24"/>
          <w:lang w:eastAsia="zh-TW"/>
        </w:rPr>
        <w:t>对乙方的服务项目、服务内容和服务质量进行确认。</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rPr>
        <w:t>3、</w:t>
      </w:r>
      <w:r>
        <w:rPr>
          <w:rFonts w:hint="eastAsia" w:ascii="宋体" w:hAnsi="宋体"/>
          <w:kern w:val="0"/>
          <w:sz w:val="24"/>
          <w:lang w:eastAsia="zh-TW"/>
        </w:rPr>
        <w:t>在有效服务期内</w:t>
      </w:r>
      <w:r>
        <w:rPr>
          <w:rFonts w:ascii="宋体" w:hAnsi="宋体"/>
          <w:kern w:val="0"/>
          <w:sz w:val="24"/>
        </w:rPr>
        <w:t xml:space="preserve"> , </w:t>
      </w:r>
      <w:r>
        <w:rPr>
          <w:rFonts w:hint="eastAsia" w:ascii="宋体" w:hAnsi="宋体"/>
          <w:kern w:val="0"/>
          <w:sz w:val="24"/>
          <w:lang w:eastAsia="zh-TW"/>
        </w:rPr>
        <w:t>甲方若需对本合同电梯设备实施改造、修理、装饰、更换的</w:t>
      </w:r>
      <w:r>
        <w:rPr>
          <w:rFonts w:ascii="宋体" w:hAnsi="宋体"/>
          <w:kern w:val="0"/>
          <w:sz w:val="24"/>
        </w:rPr>
        <w:t xml:space="preserve"> , </w:t>
      </w:r>
      <w:r>
        <w:rPr>
          <w:rFonts w:hint="eastAsia" w:ascii="宋体" w:hAnsi="宋体"/>
          <w:kern w:val="0"/>
          <w:sz w:val="24"/>
          <w:lang w:eastAsia="zh-TW"/>
        </w:rPr>
        <w:t>必须严格按国家有关法规、规章、规定实施</w:t>
      </w:r>
      <w:r>
        <w:rPr>
          <w:rFonts w:ascii="宋体" w:hAnsi="宋体"/>
          <w:kern w:val="0"/>
          <w:sz w:val="24"/>
        </w:rPr>
        <w:t xml:space="preserve"> , </w:t>
      </w:r>
      <w:r>
        <w:rPr>
          <w:rFonts w:hint="eastAsia" w:ascii="宋体" w:hAnsi="宋体"/>
          <w:kern w:val="0"/>
          <w:sz w:val="24"/>
          <w:lang w:eastAsia="zh-TW"/>
        </w:rPr>
        <w:t>因非乙方实施的上述工程而影响到乙方保养电梯设备的使用性能和安全性能的</w:t>
      </w:r>
      <w:r>
        <w:rPr>
          <w:rFonts w:ascii="宋体" w:hAnsi="宋体"/>
          <w:kern w:val="0"/>
          <w:sz w:val="24"/>
        </w:rPr>
        <w:t xml:space="preserve"> ,</w:t>
      </w:r>
      <w:r>
        <w:rPr>
          <w:rFonts w:hint="eastAsia" w:ascii="宋体" w:hAnsi="宋体"/>
          <w:kern w:val="0"/>
          <w:sz w:val="24"/>
          <w:lang w:eastAsia="zh-TW"/>
        </w:rPr>
        <w:t>乙方不承担任何责任。</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rPr>
        <w:t>4、甲方应按照合同约定支付电梯维保费用，逾期不支付的视为违约，乙方有权终止合同，停止对本合同约定的电梯提供维修保养服务。</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rPr>
        <w:t>5、对乙方提出的不符合电梯使用规范要求的整改项目和存在的安全隐患应及时解决处理，避免安全事故的发生。若乙方向甲方书面提出因存在安全隐患需整改的项目后，而甲方未采取措施所造成的人员和设备事故，所造成的一切责任和损失由甲方承担。</w:t>
      </w:r>
    </w:p>
    <w:p>
      <w:pPr>
        <w:autoSpaceDE w:val="0"/>
        <w:autoSpaceDN w:val="0"/>
        <w:adjustRightInd w:val="0"/>
        <w:spacing w:line="540" w:lineRule="exact"/>
        <w:ind w:firstLine="480" w:firstLineChars="200"/>
        <w:rPr>
          <w:rFonts w:hint="eastAsia" w:ascii="宋体" w:hAnsi="宋体"/>
          <w:color w:val="auto"/>
          <w:kern w:val="0"/>
          <w:sz w:val="24"/>
          <w:lang w:eastAsia="zh-CN"/>
        </w:rPr>
      </w:pPr>
      <w:r>
        <w:rPr>
          <w:rFonts w:hint="eastAsia" w:ascii="宋体" w:hAnsi="宋体"/>
          <w:color w:val="auto"/>
          <w:kern w:val="0"/>
          <w:sz w:val="24"/>
          <w:lang w:eastAsia="zh-CN"/>
        </w:rPr>
        <w:t>七、考核</w:t>
      </w:r>
    </w:p>
    <w:p>
      <w:pPr>
        <w:autoSpaceDE w:val="0"/>
        <w:autoSpaceDN w:val="0"/>
        <w:adjustRightInd w:val="0"/>
        <w:spacing w:line="540" w:lineRule="exact"/>
        <w:ind w:firstLine="480" w:firstLineChars="200"/>
        <w:rPr>
          <w:rFonts w:hint="eastAsia" w:ascii="宋体" w:hAnsi="宋体"/>
          <w:color w:val="auto"/>
          <w:kern w:val="0"/>
          <w:sz w:val="24"/>
          <w:lang w:eastAsia="zh-CN"/>
        </w:rPr>
      </w:pPr>
      <w:r>
        <w:rPr>
          <w:rFonts w:hint="eastAsia"/>
          <w:color w:val="auto"/>
          <w:kern w:val="0"/>
          <w:sz w:val="24"/>
          <w:szCs w:val="24"/>
          <w:lang w:eastAsia="zh-CN"/>
        </w:rPr>
        <w:t>甲方按照附件</w:t>
      </w:r>
      <w:r>
        <w:rPr>
          <w:rFonts w:hint="eastAsia"/>
          <w:color w:val="auto"/>
          <w:kern w:val="0"/>
          <w:sz w:val="24"/>
          <w:szCs w:val="24"/>
          <w:lang w:val="en-US" w:eastAsia="zh-CN"/>
        </w:rPr>
        <w:t>1中</w:t>
      </w:r>
      <w:r>
        <w:rPr>
          <w:rFonts w:hint="eastAsia"/>
          <w:color w:val="auto"/>
          <w:kern w:val="0"/>
          <w:sz w:val="24"/>
          <w:szCs w:val="24"/>
          <w:lang w:eastAsia="zh-CN"/>
        </w:rPr>
        <w:t>表</w:t>
      </w:r>
      <w:r>
        <w:rPr>
          <w:rFonts w:hint="eastAsia"/>
          <w:color w:val="auto"/>
          <w:kern w:val="0"/>
          <w:sz w:val="24"/>
          <w:szCs w:val="24"/>
          <w:lang w:val="en-US" w:eastAsia="zh-CN"/>
        </w:rPr>
        <w:t>A1、A2、A3、A4的内容、时间要求，每半月、每季度、每半年、每年检查、考核中标方的工作完成情况，如有其中一项不符合要求，扣2分，</w:t>
      </w:r>
      <w:r>
        <w:rPr>
          <w:rFonts w:hint="eastAsia"/>
          <w:color w:val="auto"/>
          <w:kern w:val="0"/>
          <w:sz w:val="24"/>
          <w:szCs w:val="24"/>
        </w:rPr>
        <w:t>在每</w:t>
      </w:r>
      <w:r>
        <w:rPr>
          <w:rFonts w:hint="eastAsia"/>
          <w:color w:val="auto"/>
          <w:kern w:val="0"/>
          <w:sz w:val="24"/>
          <w:szCs w:val="24"/>
          <w:lang w:eastAsia="zh-CN"/>
        </w:rPr>
        <w:t>一</w:t>
      </w:r>
      <w:r>
        <w:rPr>
          <w:rFonts w:hint="eastAsia"/>
          <w:color w:val="auto"/>
          <w:kern w:val="0"/>
          <w:sz w:val="24"/>
          <w:szCs w:val="24"/>
        </w:rPr>
        <w:t>个</w:t>
      </w:r>
      <w:r>
        <w:rPr>
          <w:rFonts w:hint="eastAsia"/>
          <w:color w:val="auto"/>
          <w:kern w:val="0"/>
          <w:sz w:val="24"/>
          <w:szCs w:val="24"/>
          <w:lang w:eastAsia="zh-CN"/>
        </w:rPr>
        <w:t>维保年度结束时汇总扣分情况。如果扣分小于或等于</w:t>
      </w:r>
      <w:r>
        <w:rPr>
          <w:rFonts w:hint="eastAsia"/>
          <w:color w:val="auto"/>
          <w:kern w:val="0"/>
          <w:sz w:val="24"/>
          <w:szCs w:val="24"/>
          <w:lang w:val="en-US" w:eastAsia="zh-CN"/>
        </w:rPr>
        <w:t>6分，则甲方支付中标方上一个维保年度维保金额的100%。如果扣分在7至10分，则甲方支付中标方的维保金额的95%。如果扣分在11至14分，则甲方支付中标方的维保金额的90%。乙方</w:t>
      </w:r>
      <w:r>
        <w:rPr>
          <w:rFonts w:hint="eastAsia"/>
          <w:color w:val="auto"/>
          <w:kern w:val="0"/>
          <w:sz w:val="24"/>
          <w:szCs w:val="24"/>
        </w:rPr>
        <w:t>应及时调整维保服务质量，调整后在采购服务周期内仍不满足采购人</w:t>
      </w:r>
      <w:r>
        <w:rPr>
          <w:rFonts w:hint="eastAsia"/>
          <w:color w:val="auto"/>
          <w:kern w:val="0"/>
          <w:sz w:val="24"/>
          <w:szCs w:val="24"/>
          <w:lang w:eastAsia="zh-CN"/>
        </w:rPr>
        <w:t>及相关</w:t>
      </w:r>
      <w:r>
        <w:rPr>
          <w:rFonts w:hint="eastAsia"/>
          <w:color w:val="auto"/>
          <w:kern w:val="0"/>
          <w:sz w:val="24"/>
          <w:szCs w:val="24"/>
        </w:rPr>
        <w:t>要求的，采购人有权解除合同，由此给</w:t>
      </w:r>
      <w:r>
        <w:rPr>
          <w:rFonts w:hint="eastAsia"/>
          <w:color w:val="auto"/>
          <w:kern w:val="0"/>
          <w:sz w:val="24"/>
          <w:szCs w:val="24"/>
          <w:lang w:eastAsia="zh-CN"/>
        </w:rPr>
        <w:t>甲方</w:t>
      </w:r>
      <w:r>
        <w:rPr>
          <w:rFonts w:hint="eastAsia"/>
          <w:color w:val="auto"/>
          <w:kern w:val="0"/>
          <w:sz w:val="24"/>
          <w:szCs w:val="24"/>
        </w:rPr>
        <w:t>造成的损失由</w:t>
      </w:r>
      <w:r>
        <w:rPr>
          <w:rFonts w:hint="eastAsia"/>
          <w:color w:val="auto"/>
          <w:kern w:val="0"/>
          <w:sz w:val="24"/>
          <w:szCs w:val="24"/>
          <w:lang w:eastAsia="zh-CN"/>
        </w:rPr>
        <w:t>乙方</w:t>
      </w:r>
      <w:r>
        <w:rPr>
          <w:rFonts w:hint="eastAsia"/>
          <w:color w:val="auto"/>
          <w:kern w:val="0"/>
          <w:sz w:val="24"/>
          <w:szCs w:val="24"/>
        </w:rPr>
        <w:t>承担</w:t>
      </w:r>
      <w:r>
        <w:rPr>
          <w:rFonts w:hint="eastAsia"/>
          <w:color w:val="auto"/>
          <w:kern w:val="0"/>
          <w:sz w:val="24"/>
          <w:szCs w:val="24"/>
          <w:lang w:eastAsia="zh-CN"/>
        </w:rPr>
        <w:t>全部责任</w:t>
      </w:r>
      <w:r>
        <w:rPr>
          <w:rFonts w:hint="eastAsia"/>
          <w:color w:val="auto"/>
          <w:kern w:val="0"/>
          <w:sz w:val="24"/>
          <w:szCs w:val="24"/>
        </w:rPr>
        <w:t>。</w:t>
      </w:r>
      <w:r>
        <w:rPr>
          <w:rFonts w:hint="eastAsia"/>
          <w:color w:val="auto"/>
          <w:kern w:val="0"/>
          <w:sz w:val="24"/>
          <w:szCs w:val="24"/>
          <w:lang w:val="en-US" w:eastAsia="zh-CN"/>
        </w:rPr>
        <w:t>在一个维保年度中，如果扣分等于或者大于15分，</w:t>
      </w:r>
      <w:r>
        <w:rPr>
          <w:rFonts w:hint="eastAsia"/>
          <w:color w:val="auto"/>
          <w:kern w:val="0"/>
          <w:sz w:val="24"/>
          <w:szCs w:val="24"/>
        </w:rPr>
        <w:t>采购人有权解除合同</w:t>
      </w:r>
      <w:r>
        <w:rPr>
          <w:rFonts w:hint="eastAsia"/>
          <w:color w:val="auto"/>
          <w:kern w:val="0"/>
          <w:sz w:val="24"/>
          <w:szCs w:val="24"/>
          <w:lang w:eastAsia="zh-CN"/>
        </w:rPr>
        <w:t>。</w:t>
      </w:r>
    </w:p>
    <w:p>
      <w:pPr>
        <w:autoSpaceDE w:val="0"/>
        <w:autoSpaceDN w:val="0"/>
        <w:adjustRightInd w:val="0"/>
        <w:spacing w:line="540" w:lineRule="exact"/>
        <w:ind w:firstLine="480" w:firstLineChars="200"/>
        <w:rPr>
          <w:rFonts w:hint="eastAsia" w:ascii="宋体" w:hAnsi="宋体"/>
          <w:color w:val="auto"/>
          <w:kern w:val="0"/>
          <w:sz w:val="24"/>
        </w:rPr>
      </w:pPr>
      <w:r>
        <w:rPr>
          <w:rFonts w:hint="eastAsia" w:ascii="宋体" w:hAnsi="宋体"/>
          <w:color w:val="auto"/>
          <w:kern w:val="0"/>
          <w:sz w:val="24"/>
          <w:lang w:eastAsia="zh-TW"/>
        </w:rPr>
        <w:t>八、服务费用</w:t>
      </w:r>
      <w:r>
        <w:rPr>
          <w:rFonts w:hint="eastAsia" w:ascii="宋体" w:hAnsi="宋体"/>
          <w:color w:val="auto"/>
          <w:kern w:val="0"/>
          <w:sz w:val="24"/>
        </w:rPr>
        <w:t>及付款方式和配件提供约定</w:t>
      </w:r>
    </w:p>
    <w:p>
      <w:pPr>
        <w:autoSpaceDE w:val="0"/>
        <w:autoSpaceDN w:val="0"/>
        <w:adjustRightInd w:val="0"/>
        <w:spacing w:line="540" w:lineRule="exact"/>
        <w:ind w:firstLine="480" w:firstLineChars="200"/>
        <w:rPr>
          <w:rFonts w:hint="eastAsia" w:ascii="宋体" w:hAnsi="宋体"/>
          <w:color w:val="auto"/>
          <w:sz w:val="24"/>
        </w:rPr>
      </w:pPr>
      <w:r>
        <w:rPr>
          <w:rFonts w:ascii="宋体" w:hAnsi="宋体"/>
          <w:color w:val="auto"/>
          <w:sz w:val="24"/>
        </w:rPr>
        <w:t>1</w:t>
      </w:r>
      <w:r>
        <w:rPr>
          <w:rFonts w:hint="eastAsia" w:ascii="宋体" w:hAnsi="宋体"/>
          <w:color w:val="auto"/>
          <w:sz w:val="24"/>
        </w:rPr>
        <w:t>、电梯的维保费用：</w:t>
      </w:r>
    </w:p>
    <w:p>
      <w:pPr>
        <w:autoSpaceDE w:val="0"/>
        <w:autoSpaceDN w:val="0"/>
        <w:adjustRightInd w:val="0"/>
        <w:spacing w:line="540" w:lineRule="exact"/>
        <w:ind w:firstLine="480" w:firstLineChars="200"/>
        <w:rPr>
          <w:rFonts w:hint="default" w:eastAsia="宋体"/>
          <w:color w:val="auto"/>
          <w:sz w:val="24"/>
          <w:lang w:val="en-US" w:eastAsia="zh-CN"/>
        </w:rPr>
      </w:pPr>
      <w:r>
        <w:rPr>
          <w:rFonts w:hint="eastAsia" w:ascii="宋体" w:hAnsi="宋体"/>
          <w:color w:val="auto"/>
          <w:kern w:val="0"/>
          <w:sz w:val="24"/>
          <w:lang w:val="en-US" w:eastAsia="zh-CN"/>
        </w:rPr>
        <w:t>13</w:t>
      </w:r>
      <w:r>
        <w:rPr>
          <w:rFonts w:hint="eastAsia" w:ascii="宋体" w:hAnsi="宋体"/>
          <w:color w:val="auto"/>
          <w:kern w:val="0"/>
          <w:sz w:val="24"/>
        </w:rPr>
        <w:t>台电梯合同期内维保服务总费用为人民币</w:t>
      </w:r>
      <w:r>
        <w:rPr>
          <w:rFonts w:hint="eastAsia" w:ascii="宋体" w:hAnsi="宋体"/>
          <w:color w:val="auto"/>
          <w:kern w:val="0"/>
          <w:sz w:val="24"/>
          <w:lang w:val="en-US" w:eastAsia="zh-CN"/>
        </w:rPr>
        <w:t xml:space="preserve">     </w:t>
      </w:r>
      <w:r>
        <w:rPr>
          <w:rFonts w:hint="eastAsia" w:ascii="宋体" w:hAnsi="宋体"/>
          <w:color w:val="auto"/>
          <w:kern w:val="0"/>
          <w:sz w:val="24"/>
        </w:rPr>
        <w:t>元（大写：</w:t>
      </w:r>
      <w:r>
        <w:rPr>
          <w:rFonts w:hint="eastAsia" w:ascii="宋体" w:hAnsi="宋体"/>
          <w:color w:val="auto"/>
          <w:kern w:val="0"/>
          <w:sz w:val="24"/>
          <w:lang w:val="en-US" w:eastAsia="zh-CN"/>
        </w:rPr>
        <w:t xml:space="preserve">                              </w:t>
      </w:r>
      <w:r>
        <w:rPr>
          <w:rFonts w:hint="eastAsia" w:ascii="宋体" w:hAnsi="宋体"/>
          <w:color w:val="auto"/>
          <w:kern w:val="0"/>
          <w:sz w:val="24"/>
        </w:rPr>
        <w:t>）。</w:t>
      </w:r>
      <w:r>
        <w:rPr>
          <w:rFonts w:hint="eastAsia" w:ascii="宋体" w:hAnsi="宋体"/>
          <w:color w:val="auto"/>
          <w:sz w:val="24"/>
        </w:rPr>
        <w:t>此费用包含乙方维保人员人工、差旅、管理费、税费等全部费用。</w:t>
      </w:r>
    </w:p>
    <w:p>
      <w:pPr>
        <w:spacing w:line="480" w:lineRule="auto"/>
        <w:ind w:firstLine="360" w:firstLineChars="150"/>
        <w:rPr>
          <w:rFonts w:hint="eastAsia" w:ascii="宋体" w:hAnsi="宋体" w:cs="宋体"/>
          <w:kern w:val="0"/>
          <w:sz w:val="24"/>
        </w:rPr>
      </w:pPr>
      <w:r>
        <w:rPr>
          <w:rFonts w:hint="eastAsia" w:ascii="宋体" w:hAnsi="宋体"/>
          <w:sz w:val="24"/>
          <w:lang w:val="en-US" w:eastAsia="zh-CN"/>
        </w:rPr>
        <w:t xml:space="preserve">  2、</w:t>
      </w:r>
      <w:r>
        <w:rPr>
          <w:rFonts w:hint="eastAsia" w:ascii="宋体" w:hAnsi="宋体" w:cs="宋体"/>
          <w:color w:val="222222"/>
          <w:sz w:val="24"/>
          <w:szCs w:val="24"/>
          <w:lang w:val="en-US" w:eastAsia="zh-CN"/>
        </w:rPr>
        <w:t xml:space="preserve"> </w:t>
      </w:r>
      <w:r>
        <w:rPr>
          <w:rFonts w:hint="eastAsia" w:ascii="宋体" w:hAnsi="宋体" w:cs="宋体"/>
          <w:color w:val="222222"/>
          <w:sz w:val="24"/>
          <w:szCs w:val="24"/>
        </w:rPr>
        <w:t>该</w:t>
      </w:r>
      <w:r>
        <w:rPr>
          <w:rFonts w:hint="eastAsia" w:ascii="宋体" w:hAnsi="宋体" w:cs="宋体"/>
          <w:color w:val="222222"/>
          <w:sz w:val="24"/>
          <w:szCs w:val="24"/>
          <w:lang w:eastAsia="zh-CN"/>
        </w:rPr>
        <w:t>维保费</w:t>
      </w:r>
      <w:r>
        <w:rPr>
          <w:rFonts w:hint="eastAsia" w:ascii="宋体" w:hAnsi="宋体" w:cs="宋体"/>
          <w:color w:val="222222"/>
          <w:sz w:val="24"/>
          <w:szCs w:val="24"/>
        </w:rPr>
        <w:t>包含</w:t>
      </w:r>
      <w:r>
        <w:rPr>
          <w:rFonts w:hint="eastAsia"/>
          <w:sz w:val="24"/>
        </w:rPr>
        <w:t>500元及以下的配件更换费用，</w:t>
      </w:r>
      <w:r>
        <w:rPr>
          <w:rFonts w:hint="eastAsia" w:ascii="宋体" w:hAnsi="宋体" w:cs="宋体"/>
          <w:color w:val="222222"/>
          <w:sz w:val="24"/>
          <w:szCs w:val="24"/>
        </w:rPr>
        <w:t>不包含500元以上配件更换费用,</w:t>
      </w:r>
      <w:r>
        <w:rPr>
          <w:rFonts w:hint="eastAsia"/>
          <w:sz w:val="24"/>
        </w:rPr>
        <w:t>500元以上的配件费用按照合同价格</w:t>
      </w:r>
      <w:r>
        <w:rPr>
          <w:rFonts w:hint="eastAsia"/>
          <w:sz w:val="24"/>
          <w:lang w:eastAsia="zh-CN"/>
        </w:rPr>
        <w:t>另行</w:t>
      </w:r>
      <w:r>
        <w:rPr>
          <w:rFonts w:hint="eastAsia"/>
          <w:sz w:val="24"/>
        </w:rPr>
        <w:t>支付。</w:t>
      </w:r>
      <w:r>
        <w:rPr>
          <w:rFonts w:hint="eastAsia" w:ascii="宋体" w:hAnsi="宋体"/>
          <w:sz w:val="24"/>
          <w:lang w:val="en-US" w:eastAsia="zh-CN"/>
        </w:rPr>
        <w:t xml:space="preserve">    </w:t>
      </w:r>
      <w:r>
        <w:rPr>
          <w:rFonts w:hint="eastAsia" w:ascii="宋体" w:hAnsi="宋体"/>
          <w:sz w:val="24"/>
        </w:rPr>
        <w:t>500元</w:t>
      </w:r>
      <w:r>
        <w:rPr>
          <w:rFonts w:hint="eastAsia" w:ascii="宋体" w:hAnsi="宋体"/>
          <w:sz w:val="24"/>
          <w:lang w:eastAsia="zh-CN"/>
        </w:rPr>
        <w:t>及</w:t>
      </w:r>
      <w:r>
        <w:rPr>
          <w:rFonts w:hint="eastAsia" w:ascii="宋体" w:hAnsi="宋体"/>
          <w:sz w:val="24"/>
        </w:rPr>
        <w:t>以下免费更换配件清单及500元以上配件价格清单见后附件2、附件3。</w:t>
      </w:r>
      <w:r>
        <w:rPr>
          <w:rFonts w:hint="eastAsia" w:ascii="宋体" w:hAnsi="宋体"/>
          <w:sz w:val="24"/>
          <w:lang w:val="en-US" w:eastAsia="zh-CN"/>
        </w:rPr>
        <w:t xml:space="preserve"> </w:t>
      </w:r>
      <w:r>
        <w:rPr>
          <w:rFonts w:hint="eastAsia"/>
          <w:sz w:val="24"/>
        </w:rPr>
        <w:t>乙方提供的配件质量必须符合相关规定，必须提供质量合格证、使用说明、质保期、生产厂家、品牌与原来使用的相同。</w:t>
      </w:r>
      <w:r>
        <w:rPr>
          <w:rFonts w:hint="eastAsia" w:ascii="宋体" w:hAnsi="宋体"/>
          <w:sz w:val="24"/>
        </w:rPr>
        <w:t xml:space="preserve"> </w:t>
      </w:r>
      <w:r>
        <w:rPr>
          <w:rFonts w:hint="eastAsia" w:ascii="宋体" w:hAnsi="宋体" w:cs="宋体"/>
          <w:kern w:val="0"/>
          <w:sz w:val="24"/>
        </w:rPr>
        <w:t>更换的配件，从更换使用之日起，质保两年。实际中遇到如本表中没有列入的配件，双方市场询价或者协商解决。</w:t>
      </w:r>
    </w:p>
    <w:p>
      <w:pPr>
        <w:tabs>
          <w:tab w:val="left" w:pos="1080"/>
        </w:tabs>
        <w:spacing w:line="540" w:lineRule="exact"/>
        <w:ind w:firstLine="480" w:firstLineChars="200"/>
        <w:rPr>
          <w:rFonts w:ascii="宋体" w:hAnsi="宋体"/>
          <w:sz w:val="24"/>
        </w:rPr>
      </w:pPr>
      <w:r>
        <w:rPr>
          <w:rFonts w:hint="eastAsia" w:ascii="宋体" w:hAnsi="宋体"/>
          <w:sz w:val="24"/>
        </w:rPr>
        <w:t>3、保养所需机油、润滑油、照明灯具等由乙方提供。</w:t>
      </w:r>
    </w:p>
    <w:p>
      <w:pPr>
        <w:spacing w:line="540" w:lineRule="exact"/>
        <w:ind w:firstLine="480" w:firstLineChars="200"/>
        <w:rPr>
          <w:rFonts w:hint="eastAsia" w:ascii="宋体" w:hAnsi="宋体"/>
          <w:sz w:val="24"/>
        </w:rPr>
      </w:pPr>
      <w:r>
        <w:rPr>
          <w:rFonts w:hint="eastAsia" w:ascii="宋体" w:hAnsi="宋体"/>
          <w:sz w:val="24"/>
        </w:rPr>
        <w:t>4、本报价不包含国家管理部门的强制定期检验费。</w:t>
      </w:r>
    </w:p>
    <w:p>
      <w:pPr>
        <w:spacing w:line="540" w:lineRule="exact"/>
        <w:ind w:firstLine="480" w:firstLineChars="200"/>
        <w:rPr>
          <w:rFonts w:hint="eastAsia" w:ascii="宋体" w:hAnsi="宋体"/>
          <w:sz w:val="24"/>
        </w:rPr>
      </w:pPr>
      <w:r>
        <w:rPr>
          <w:rFonts w:hint="eastAsia" w:ascii="宋体" w:hAnsi="宋体"/>
          <w:sz w:val="24"/>
        </w:rPr>
        <w:t>5、乙方为合同约定中的</w:t>
      </w:r>
      <w:r>
        <w:rPr>
          <w:rFonts w:hint="eastAsia" w:ascii="宋体" w:hAnsi="宋体"/>
          <w:sz w:val="24"/>
          <w:lang w:val="en-US" w:eastAsia="zh-CN"/>
        </w:rPr>
        <w:t>13</w:t>
      </w:r>
      <w:r>
        <w:rPr>
          <w:rFonts w:hint="eastAsia" w:ascii="宋体" w:hAnsi="宋体"/>
          <w:sz w:val="24"/>
        </w:rPr>
        <w:t>台电梯购买特种设备责任保险。</w:t>
      </w:r>
    </w:p>
    <w:p>
      <w:pPr>
        <w:spacing w:line="540" w:lineRule="exact"/>
        <w:ind w:firstLine="480" w:firstLineChars="200"/>
        <w:rPr>
          <w:rFonts w:hint="eastAsia" w:ascii="宋体" w:hAnsi="宋体"/>
          <w:sz w:val="24"/>
        </w:rPr>
      </w:pPr>
      <w:r>
        <w:rPr>
          <w:rFonts w:hint="eastAsia" w:ascii="宋体" w:hAnsi="宋体"/>
          <w:sz w:val="24"/>
        </w:rPr>
        <w:t>6、若合同期内，电梯需按国家规定进行125%载荷试验时，按双方签订的合同执行（注：125%载荷试验每五年一次）。其他一般性测试、试验、校验，如：限速器校验等，由乙方免费完成。</w:t>
      </w:r>
    </w:p>
    <w:p>
      <w:pPr>
        <w:snapToGrid w:val="0"/>
        <w:spacing w:line="540" w:lineRule="exact"/>
        <w:ind w:firstLine="480" w:firstLineChars="200"/>
        <w:rPr>
          <w:rFonts w:hint="eastAsia" w:ascii="宋体" w:hAnsi="宋体"/>
          <w:sz w:val="24"/>
        </w:rPr>
      </w:pPr>
      <w:r>
        <w:rPr>
          <w:rFonts w:hint="eastAsia" w:ascii="宋体" w:hAnsi="宋体"/>
          <w:sz w:val="24"/>
        </w:rPr>
        <w:t>7、付款方式</w:t>
      </w:r>
    </w:p>
    <w:p>
      <w:pPr>
        <w:snapToGrid w:val="0"/>
        <w:spacing w:line="540" w:lineRule="exact"/>
        <w:ind w:firstLine="240" w:firstLineChars="100"/>
        <w:rPr>
          <w:rFonts w:hint="eastAsia" w:ascii="宋体" w:hAnsi="宋体" w:eastAsia="宋体"/>
          <w:color w:val="auto"/>
          <w:sz w:val="24"/>
          <w:lang w:eastAsia="zh-CN"/>
        </w:rPr>
      </w:pPr>
      <w:r>
        <w:rPr>
          <w:rFonts w:hint="eastAsia" w:ascii="宋体" w:hAnsi="宋体"/>
          <w:color w:val="auto"/>
          <w:sz w:val="24"/>
          <w:lang w:eastAsia="zh-CN"/>
        </w:rPr>
        <w:t>在合同期结束时，甲方按照合同支付维保费。</w:t>
      </w:r>
    </w:p>
    <w:p>
      <w:pPr>
        <w:snapToGrid w:val="0"/>
        <w:spacing w:line="540" w:lineRule="exact"/>
        <w:ind w:firstLine="240" w:firstLineChars="100"/>
        <w:rPr>
          <w:rFonts w:hint="eastAsia" w:ascii="宋体" w:hAnsi="宋体"/>
          <w:color w:val="auto"/>
          <w:sz w:val="24"/>
        </w:rPr>
      </w:pPr>
      <w:r>
        <w:rPr>
          <w:rFonts w:hint="eastAsia" w:ascii="宋体" w:hAnsi="宋体"/>
          <w:color w:val="auto"/>
          <w:sz w:val="24"/>
        </w:rPr>
        <w:t>在合同期内，更换的</w:t>
      </w:r>
      <w:r>
        <w:rPr>
          <w:rFonts w:hint="eastAsia" w:ascii="宋体" w:hAnsi="宋体"/>
          <w:color w:val="auto"/>
          <w:sz w:val="24"/>
          <w:lang w:val="en-US" w:eastAsia="zh-CN"/>
        </w:rPr>
        <w:t>500元以上</w:t>
      </w:r>
      <w:r>
        <w:rPr>
          <w:rFonts w:hint="eastAsia" w:ascii="宋体" w:hAnsi="宋体"/>
          <w:color w:val="auto"/>
          <w:sz w:val="24"/>
        </w:rPr>
        <w:t>配件</w:t>
      </w:r>
      <w:r>
        <w:rPr>
          <w:rFonts w:hint="eastAsia" w:ascii="宋体" w:hAnsi="宋体"/>
          <w:color w:val="auto"/>
          <w:sz w:val="24"/>
          <w:lang w:eastAsia="zh-CN"/>
        </w:rPr>
        <w:t>费</w:t>
      </w:r>
      <w:r>
        <w:rPr>
          <w:rFonts w:hint="eastAsia" w:ascii="宋体" w:hAnsi="宋体"/>
          <w:color w:val="auto"/>
          <w:sz w:val="24"/>
        </w:rPr>
        <w:t>和其他费用，每年结算两次。</w:t>
      </w:r>
    </w:p>
    <w:p>
      <w:pPr>
        <w:snapToGrid w:val="0"/>
        <w:spacing w:line="420" w:lineRule="exact"/>
        <w:ind w:firstLine="480" w:firstLineChars="200"/>
        <w:rPr>
          <w:rFonts w:hint="eastAsia" w:ascii="宋体" w:hAnsi="宋体"/>
          <w:sz w:val="24"/>
        </w:rPr>
      </w:pPr>
      <w:r>
        <w:rPr>
          <w:rFonts w:hint="eastAsia" w:ascii="宋体" w:hAnsi="宋体"/>
          <w:sz w:val="24"/>
        </w:rPr>
        <w:t>8、乙方开票及付款信息约定</w:t>
      </w:r>
    </w:p>
    <w:p>
      <w:pPr>
        <w:snapToGrid w:val="0"/>
        <w:spacing w:line="420" w:lineRule="exact"/>
        <w:ind w:firstLine="480"/>
        <w:rPr>
          <w:rFonts w:hint="eastAsia" w:ascii="宋体" w:hAnsi="宋体"/>
          <w:sz w:val="24"/>
        </w:rPr>
      </w:pPr>
      <w:r>
        <w:rPr>
          <w:rFonts w:hint="eastAsia" w:ascii="宋体" w:hAnsi="宋体"/>
          <w:sz w:val="24"/>
        </w:rPr>
        <w:t>电梯的维保费用开票及支付按照以下信息进行：</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rPr>
        <w:t>九、本合同不承担项目</w:t>
      </w:r>
    </w:p>
    <w:p>
      <w:pPr>
        <w:autoSpaceDE w:val="0"/>
        <w:autoSpaceDN w:val="0"/>
        <w:adjustRightInd w:val="0"/>
        <w:spacing w:line="540" w:lineRule="exact"/>
        <w:ind w:firstLine="720" w:firstLineChars="300"/>
        <w:rPr>
          <w:rFonts w:hint="eastAsia" w:ascii="宋体" w:hAnsi="宋体"/>
          <w:kern w:val="0"/>
          <w:sz w:val="24"/>
        </w:rPr>
      </w:pPr>
      <w:r>
        <w:rPr>
          <w:rFonts w:hint="eastAsia" w:ascii="宋体" w:hAnsi="宋体"/>
          <w:kern w:val="0"/>
          <w:sz w:val="24"/>
        </w:rPr>
        <w:t>本合同及合同附件所述内容之外的其他项目。</w:t>
      </w:r>
    </w:p>
    <w:p>
      <w:pPr>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lang w:eastAsia="zh-TW"/>
        </w:rPr>
        <w:t>十、其他</w:t>
      </w:r>
    </w:p>
    <w:p>
      <w:pPr>
        <w:tabs>
          <w:tab w:val="left" w:pos="273"/>
        </w:tabs>
        <w:autoSpaceDE w:val="0"/>
        <w:autoSpaceDN w:val="0"/>
        <w:adjustRightInd w:val="0"/>
        <w:spacing w:line="540" w:lineRule="exact"/>
        <w:ind w:firstLine="480" w:firstLineChars="200"/>
        <w:rPr>
          <w:rFonts w:hint="eastAsia" w:ascii="宋体" w:hAnsi="宋体"/>
          <w:kern w:val="0"/>
          <w:sz w:val="24"/>
        </w:rPr>
      </w:pPr>
      <w:r>
        <w:rPr>
          <w:rFonts w:hint="eastAsia" w:ascii="宋体" w:hAnsi="宋体"/>
          <w:kern w:val="0"/>
          <w:sz w:val="24"/>
          <w:lang w:val="en-US" w:eastAsia="zh-CN"/>
        </w:rPr>
        <w:t>1</w:t>
      </w:r>
      <w:r>
        <w:rPr>
          <w:rFonts w:hint="eastAsia" w:ascii="宋体" w:hAnsi="宋体"/>
          <w:kern w:val="0"/>
          <w:sz w:val="24"/>
        </w:rPr>
        <w:t>、</w:t>
      </w:r>
      <w:r>
        <w:rPr>
          <w:rFonts w:hint="eastAsia" w:ascii="宋体" w:hAnsi="宋体"/>
          <w:kern w:val="0"/>
          <w:sz w:val="24"/>
          <w:lang w:eastAsia="zh-TW"/>
        </w:rPr>
        <w:t>合同签订时</w:t>
      </w:r>
      <w:r>
        <w:rPr>
          <w:rFonts w:ascii="宋体" w:hAnsi="宋体"/>
          <w:kern w:val="0"/>
          <w:sz w:val="24"/>
        </w:rPr>
        <w:t xml:space="preserve">, </w:t>
      </w:r>
      <w:r>
        <w:rPr>
          <w:rFonts w:hint="eastAsia" w:ascii="宋体" w:hAnsi="宋体"/>
          <w:kern w:val="0"/>
          <w:sz w:val="24"/>
          <w:lang w:eastAsia="zh-TW"/>
        </w:rPr>
        <w:t>需要对合同条款增加和更改的</w:t>
      </w:r>
      <w:r>
        <w:rPr>
          <w:rFonts w:ascii="宋体" w:hAnsi="宋体"/>
          <w:kern w:val="0"/>
          <w:sz w:val="24"/>
        </w:rPr>
        <w:t>,</w:t>
      </w:r>
      <w:r>
        <w:rPr>
          <w:rFonts w:hint="eastAsia" w:ascii="宋体" w:hAnsi="宋体"/>
          <w:kern w:val="0"/>
          <w:sz w:val="24"/>
          <w:lang w:eastAsia="zh-TW"/>
        </w:rPr>
        <w:t>或者要求提供本合同约定以外的服务时</w:t>
      </w:r>
      <w:r>
        <w:rPr>
          <w:rFonts w:ascii="宋体" w:hAnsi="宋体"/>
          <w:kern w:val="0"/>
          <w:sz w:val="24"/>
        </w:rPr>
        <w:t xml:space="preserve">, </w:t>
      </w:r>
      <w:r>
        <w:rPr>
          <w:rFonts w:hint="eastAsia" w:ascii="宋体" w:hAnsi="宋体"/>
          <w:kern w:val="0"/>
          <w:sz w:val="24"/>
          <w:lang w:eastAsia="zh-TW"/>
        </w:rPr>
        <w:t>双方应另行</w:t>
      </w:r>
      <w:r>
        <w:rPr>
          <w:rFonts w:hint="eastAsia" w:ascii="宋体" w:hAnsi="宋体"/>
          <w:kern w:val="0"/>
          <w:sz w:val="24"/>
        </w:rPr>
        <w:t>签约</w:t>
      </w:r>
      <w:r>
        <w:rPr>
          <w:rFonts w:ascii="宋体" w:hAnsi="宋体"/>
          <w:kern w:val="0"/>
          <w:sz w:val="24"/>
        </w:rPr>
        <w:t>,</w:t>
      </w:r>
      <w:r>
        <w:rPr>
          <w:rFonts w:hint="eastAsia" w:ascii="宋体" w:hAnsi="宋体"/>
          <w:kern w:val="0"/>
          <w:sz w:val="24"/>
          <w:lang w:eastAsia="zh-TW"/>
        </w:rPr>
        <w:t>经双方签字、盖章后生效。</w:t>
      </w:r>
    </w:p>
    <w:p>
      <w:pPr>
        <w:spacing w:line="480" w:lineRule="auto"/>
        <w:ind w:firstLine="480" w:firstLineChars="200"/>
        <w:rPr>
          <w:rFonts w:hint="eastAsia"/>
          <w:sz w:val="24"/>
        </w:rPr>
      </w:pPr>
      <w:r>
        <w:rPr>
          <w:rFonts w:hint="eastAsia"/>
          <w:sz w:val="24"/>
          <w:lang w:val="en-US" w:eastAsia="zh-CN"/>
        </w:rPr>
        <w:t>2</w:t>
      </w:r>
      <w:r>
        <w:rPr>
          <w:rFonts w:hint="eastAsia"/>
          <w:sz w:val="24"/>
        </w:rPr>
        <w:t>、</w:t>
      </w:r>
      <w:r>
        <w:rPr>
          <w:rFonts w:hint="eastAsia" w:ascii="宋体" w:hAnsi="宋体"/>
          <w:sz w:val="24"/>
        </w:rPr>
        <w:t>合同自签订之日起即产生法律效力，甲、乙双方必须严格履行合同内容。</w:t>
      </w:r>
      <w:r>
        <w:rPr>
          <w:rFonts w:hint="eastAsia"/>
          <w:sz w:val="24"/>
        </w:rPr>
        <w:t>双方中任何一方无故中途退约时，退约方按合同总额的50%向守约方偿付违约金。</w:t>
      </w:r>
    </w:p>
    <w:p>
      <w:pPr>
        <w:spacing w:line="480" w:lineRule="auto"/>
        <w:ind w:firstLine="480" w:firstLineChars="200"/>
        <w:rPr>
          <w:rFonts w:hint="eastAsia"/>
          <w:sz w:val="24"/>
        </w:rPr>
      </w:pPr>
      <w:r>
        <w:rPr>
          <w:rFonts w:hint="eastAsia"/>
          <w:sz w:val="24"/>
          <w:lang w:val="en-US" w:eastAsia="zh-CN"/>
        </w:rPr>
        <w:t>3</w:t>
      </w:r>
      <w:r>
        <w:rPr>
          <w:rFonts w:hint="eastAsia"/>
          <w:sz w:val="24"/>
        </w:rPr>
        <w:t>、若因乙方维修保养不到位出现重大安全事故，甲方有权单方面终止合同和不支付维保费，并保留针对乙方赔偿损失的权利。</w:t>
      </w:r>
    </w:p>
    <w:p>
      <w:pPr>
        <w:spacing w:line="540" w:lineRule="exact"/>
        <w:ind w:firstLine="480" w:firstLineChars="200"/>
        <w:rPr>
          <w:rFonts w:hint="eastAsia" w:ascii="宋体" w:hAnsi="宋体" w:eastAsia="宋体"/>
          <w:sz w:val="24"/>
          <w:lang w:eastAsia="zh-CN"/>
        </w:rPr>
      </w:pPr>
      <w:r>
        <w:rPr>
          <w:rFonts w:hint="eastAsia"/>
          <w:sz w:val="24"/>
          <w:lang w:val="en-US" w:eastAsia="zh-CN"/>
        </w:rPr>
        <w:t>4</w:t>
      </w:r>
      <w:r>
        <w:rPr>
          <w:rFonts w:hint="eastAsia"/>
          <w:sz w:val="24"/>
        </w:rPr>
        <w:t>、招标</w:t>
      </w:r>
      <w:r>
        <w:rPr>
          <w:rFonts w:hint="eastAsia"/>
          <w:sz w:val="24"/>
          <w:lang w:eastAsia="zh-CN"/>
        </w:rPr>
        <w:t>、投标</w:t>
      </w:r>
      <w:r>
        <w:rPr>
          <w:rFonts w:hint="eastAsia"/>
          <w:sz w:val="24"/>
        </w:rPr>
        <w:t>文件</w:t>
      </w:r>
      <w:r>
        <w:rPr>
          <w:rFonts w:hint="eastAsia"/>
          <w:sz w:val="24"/>
          <w:lang w:eastAsia="zh-CN"/>
        </w:rPr>
        <w:t>、</w:t>
      </w:r>
      <w:r>
        <w:rPr>
          <w:rFonts w:hint="eastAsia"/>
          <w:sz w:val="24"/>
        </w:rPr>
        <w:t>《承诺函》作为合同附件，具有合同同等效力</w:t>
      </w:r>
      <w:r>
        <w:rPr>
          <w:rFonts w:hint="eastAsia"/>
          <w:sz w:val="24"/>
          <w:lang w:eastAsia="zh-CN"/>
        </w:rPr>
        <w:t>。若三者不一致，以利于甲方的条款为准。</w:t>
      </w:r>
    </w:p>
    <w:p>
      <w:pPr>
        <w:spacing w:line="54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、本合同一式</w:t>
      </w:r>
      <w:r>
        <w:rPr>
          <w:rFonts w:hint="eastAsia" w:ascii="宋体" w:hAnsi="宋体"/>
          <w:sz w:val="24"/>
          <w:lang w:eastAsia="zh-CN"/>
        </w:rPr>
        <w:t>五</w:t>
      </w:r>
      <w:r>
        <w:rPr>
          <w:rFonts w:hint="eastAsia" w:ascii="宋体" w:hAnsi="宋体"/>
          <w:sz w:val="24"/>
        </w:rPr>
        <w:t>份，甲方执</w:t>
      </w:r>
      <w:r>
        <w:rPr>
          <w:rFonts w:hint="eastAsia" w:ascii="宋体" w:hAnsi="宋体"/>
          <w:sz w:val="24"/>
          <w:lang w:eastAsia="zh-CN"/>
        </w:rPr>
        <w:t>三</w:t>
      </w:r>
      <w:r>
        <w:rPr>
          <w:rFonts w:hint="eastAsia" w:ascii="宋体" w:hAnsi="宋体"/>
          <w:sz w:val="24"/>
        </w:rPr>
        <w:t>份，乙方执</w:t>
      </w:r>
      <w:r>
        <w:rPr>
          <w:rFonts w:hint="eastAsia" w:ascii="宋体" w:hAnsi="宋体"/>
          <w:sz w:val="24"/>
          <w:lang w:eastAsia="zh-CN"/>
        </w:rPr>
        <w:t>二</w:t>
      </w:r>
      <w:r>
        <w:rPr>
          <w:rFonts w:hint="eastAsia" w:ascii="宋体" w:hAnsi="宋体"/>
          <w:sz w:val="24"/>
        </w:rPr>
        <w:t>份。</w:t>
      </w:r>
    </w:p>
    <w:p>
      <w:pPr>
        <w:tabs>
          <w:tab w:val="left" w:pos="5160"/>
        </w:tabs>
        <w:spacing w:line="450" w:lineRule="exact"/>
        <w:ind w:left="786" w:leftChars="100" w:hanging="576" w:hangingChars="239"/>
        <w:rPr>
          <w:rFonts w:hint="eastAsia" w:ascii="宋体"/>
          <w:b/>
          <w:bCs/>
          <w:sz w:val="24"/>
        </w:rPr>
      </w:pPr>
    </w:p>
    <w:p>
      <w:pPr>
        <w:tabs>
          <w:tab w:val="left" w:pos="5160"/>
        </w:tabs>
        <w:spacing w:line="450" w:lineRule="exact"/>
        <w:ind w:left="786" w:leftChars="100" w:hanging="576" w:hangingChars="239"/>
        <w:rPr>
          <w:rFonts w:hint="eastAsia" w:ascii="宋体"/>
          <w:b/>
          <w:bCs/>
          <w:sz w:val="24"/>
        </w:rPr>
      </w:pPr>
      <w:r>
        <w:rPr>
          <w:rFonts w:hint="eastAsia" w:ascii="宋体"/>
          <w:b/>
          <w:bCs/>
          <w:sz w:val="24"/>
        </w:rPr>
        <w:t>附件1：电梯售后服务规范表：</w:t>
      </w:r>
    </w:p>
    <w:p>
      <w:pPr>
        <w:spacing w:line="540" w:lineRule="exact"/>
        <w:rPr>
          <w:rFonts w:ascii="宋体" w:hAnsi="宋体"/>
          <w:sz w:val="24"/>
        </w:rPr>
      </w:pPr>
      <w:r>
        <w:rPr>
          <w:rFonts w:hint="eastAsia" w:ascii="宋体" w:hAnsi="宋体"/>
          <w:sz w:val="24"/>
        </w:rPr>
        <w:t>1）按照</w:t>
      </w:r>
      <w:r>
        <w:rPr>
          <w:rFonts w:hint="eastAsia" w:ascii="宋体" w:hAnsi="宋体"/>
          <w:sz w:val="24"/>
          <w:lang w:eastAsia="zh-CN"/>
        </w:rPr>
        <w:t>现行</w:t>
      </w:r>
      <w:r>
        <w:rPr>
          <w:rFonts w:hint="eastAsia" w:ascii="宋体" w:hAnsi="宋体"/>
          <w:sz w:val="24"/>
        </w:rPr>
        <w:t>《电梯使用与保养规则》制定维保记录表，并根据记录表的内容进行</w:t>
      </w:r>
      <w:r>
        <w:rPr>
          <w:rFonts w:hint="eastAsia" w:ascii="宋体" w:hAnsi="宋体"/>
          <w:b/>
          <w:sz w:val="24"/>
        </w:rPr>
        <w:t>保养。</w:t>
      </w:r>
    </w:p>
    <w:p>
      <w:pPr>
        <w:spacing w:line="540" w:lineRule="exact"/>
        <w:rPr>
          <w:rFonts w:ascii="宋体" w:hAnsi="宋体"/>
          <w:sz w:val="24"/>
        </w:rPr>
      </w:pPr>
      <w:r>
        <w:rPr>
          <w:rFonts w:hint="eastAsia" w:ascii="宋体" w:hAnsi="宋体"/>
          <w:sz w:val="24"/>
        </w:rPr>
        <w:t>2）规范中的服务时间间隔分为：</w:t>
      </w:r>
    </w:p>
    <w:p>
      <w:pPr>
        <w:spacing w:line="540" w:lineRule="exact"/>
        <w:ind w:firstLine="689" w:firstLineChars="286"/>
        <w:rPr>
          <w:rFonts w:ascii="宋体" w:hAnsi="宋体"/>
          <w:b/>
          <w:sz w:val="24"/>
        </w:rPr>
      </w:pPr>
      <w:r>
        <w:rPr>
          <w:rFonts w:hint="eastAsia" w:ascii="宋体" w:hAnsi="宋体"/>
          <w:b/>
          <w:sz w:val="24"/>
        </w:rPr>
        <w:t>电梯：半月保养、季度保养、半年保养、年保养四类。</w:t>
      </w:r>
    </w:p>
    <w:p>
      <w:pPr>
        <w:spacing w:line="540" w:lineRule="exact"/>
        <w:jc w:val="left"/>
        <w:rPr>
          <w:rFonts w:ascii="宋体" w:hAnsi="宋体"/>
          <w:spacing w:val="26"/>
          <w:sz w:val="24"/>
        </w:rPr>
      </w:pPr>
      <w:r>
        <w:rPr>
          <w:rFonts w:hint="eastAsia" w:ascii="宋体" w:hAnsi="宋体"/>
          <w:sz w:val="24"/>
        </w:rPr>
        <w:t>3）</w:t>
      </w:r>
      <w:r>
        <w:rPr>
          <w:rFonts w:hint="eastAsia" w:ascii="宋体" w:hAnsi="宋体"/>
          <w:spacing w:val="26"/>
          <w:sz w:val="24"/>
        </w:rPr>
        <w:t>工具：应根据不同间隔时间的维修保养项目</w:t>
      </w:r>
      <w:r>
        <w:rPr>
          <w:rFonts w:ascii="宋体" w:hAnsi="宋体"/>
          <w:spacing w:val="26"/>
          <w:sz w:val="24"/>
        </w:rPr>
        <w:t>,</w:t>
      </w:r>
      <w:r>
        <w:rPr>
          <w:rFonts w:hint="eastAsia" w:ascii="宋体" w:hAnsi="宋体"/>
          <w:spacing w:val="26"/>
          <w:sz w:val="24"/>
        </w:rPr>
        <w:t>准备其相应配件及常用的工具。</w:t>
      </w:r>
    </w:p>
    <w:p>
      <w:pPr>
        <w:widowControl/>
        <w:spacing w:line="360" w:lineRule="auto"/>
        <w:rPr>
          <w:rFonts w:hint="eastAsia" w:ascii="宋体" w:hAnsi="宋体" w:cs="宋体"/>
          <w:kern w:val="0"/>
          <w:sz w:val="24"/>
        </w:rPr>
      </w:pPr>
      <w:r>
        <w:rPr>
          <w:rFonts w:hint="eastAsia" w:ascii="宋体" w:hAnsi="宋体"/>
          <w:sz w:val="24"/>
        </w:rPr>
        <w:t>4）电梯日常维护保养项目（内容）和要求</w:t>
      </w:r>
      <w:r>
        <w:rPr>
          <w:rFonts w:hint="eastAsia" w:ascii="宋体" w:hAnsi="宋体" w:cs="宋体"/>
          <w:bCs/>
          <w:kern w:val="0"/>
          <w:sz w:val="24"/>
        </w:rPr>
        <w:t>（至少包含但不仅限于以下项目、要求）：</w:t>
      </w:r>
    </w:p>
    <w:p>
      <w:pPr>
        <w:widowControl/>
        <w:spacing w:line="360" w:lineRule="auto"/>
        <w:jc w:val="left"/>
        <w:rPr>
          <w:rFonts w:hint="eastAsia" w:ascii="宋体" w:hAnsi="宋体" w:cs="宋体"/>
          <w:color w:val="000000"/>
          <w:kern w:val="0"/>
          <w:sz w:val="24"/>
          <w:szCs w:val="24"/>
        </w:rPr>
      </w:pPr>
      <w:r>
        <w:rPr>
          <w:rFonts w:hint="eastAsia" w:ascii="宋体" w:hAnsi="宋体" w:cs="宋体"/>
          <w:bCs/>
          <w:color w:val="000000"/>
          <w:kern w:val="0"/>
          <w:sz w:val="24"/>
          <w:szCs w:val="24"/>
        </w:rPr>
        <w:t>4.1.半月维保项目（内容）和要求</w:t>
      </w:r>
      <w:r>
        <w:rPr>
          <w:rFonts w:hint="eastAsia" w:ascii="宋体" w:hAnsi="宋体" w:cs="宋体"/>
          <w:color w:val="000000"/>
          <w:kern w:val="0"/>
          <w:sz w:val="24"/>
          <w:szCs w:val="24"/>
        </w:rPr>
        <w:t>（表</w:t>
      </w:r>
      <w:r>
        <w:rPr>
          <w:color w:val="000000"/>
          <w:kern w:val="0"/>
          <w:sz w:val="24"/>
          <w:szCs w:val="24"/>
        </w:rPr>
        <w:t>A1</w:t>
      </w:r>
      <w:r>
        <w:rPr>
          <w:rFonts w:hint="eastAsia"/>
          <w:color w:val="000000"/>
          <w:kern w:val="0"/>
          <w:sz w:val="24"/>
          <w:szCs w:val="24"/>
        </w:rPr>
        <w:t>）：</w:t>
      </w:r>
    </w:p>
    <w:tbl>
      <w:tblPr>
        <w:tblStyle w:val="21"/>
        <w:tblW w:w="8196" w:type="dxa"/>
        <w:tblInd w:w="1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5"/>
        <w:gridCol w:w="3240"/>
        <w:gridCol w:w="41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维保项目（内容）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机房、滑轮间环境</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清洁，门窗完好、照明正常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手动紧急操作装置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齐全，在指定位置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驱动主机</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运行时无异常振动和异常声响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制动器各销轴部位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润滑，动作灵活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制动器间隙</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打开时制动衬与制动轮不应发生摩擦，间隙值符合制造单位要求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制动器作为轿厢意外移动保护装置制停子系统时的自监测</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制动力人工方式检测符合使用维护说明书要求；制动力自监测系统有记录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编码器</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清洁，安装牢固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限速器各销轴部位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润滑，转动灵活；电气开关正常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层门和轿门旁路装置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10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紧急电动运行</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轿顶</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清洁，防护栏安全可靠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轿顶检修开关、急停开关</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导靴上油杯</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吸油毛毡齐全，油量适宜，油杯无泄漏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对重/平衡重块及其压板</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对重/平衡重块无松动，压板紧固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井道照明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齐全、正常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轿厢照明、风扇、应急照明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轿厢检修开关、停止装置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轿内报警装置、对讲系统</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19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轿内显示、指令按钮、IC卡系统</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轿内防撞击保护装置（安全触板，光幕、光电等）</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轿门门锁电气触点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清洁，触电接触良好，接线可靠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22</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轿门运行</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开启和关闭工作正常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23</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轿厢平层准确度</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符合标准值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24</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层站召唤、层楼显示</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25</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层门地坎</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26</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层门自动关门装置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27</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层门门锁自动复位</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用层门钥匙打开手动开锁装置释放后，层门门锁能自动复位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28</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层门门锁电气触点</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清洁，触点接触良好，接线可靠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29</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层门锁紧元件啮合长度</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不小于7㎜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30</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底坑环境</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清洁，无渗水、积水，照明正常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31</w:t>
            </w:r>
          </w:p>
        </w:tc>
        <w:tc>
          <w:tcPr>
            <w:tcW w:w="3240"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底坑停止装置</w:t>
            </w:r>
          </w:p>
        </w:tc>
        <w:tc>
          <w:tcPr>
            <w:tcW w:w="4181"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rPr>
            </w:pPr>
            <w:r>
              <w:rPr>
                <w:rFonts w:hint="eastAsia" w:ascii="宋体" w:hAnsi="宋体" w:cs="宋体"/>
                <w:kern w:val="0"/>
                <w:sz w:val="24"/>
              </w:rPr>
              <w:t>工作正常</w:t>
            </w:r>
          </w:p>
        </w:tc>
      </w:tr>
    </w:tbl>
    <w:p>
      <w:pPr>
        <w:widowControl/>
        <w:spacing w:line="360" w:lineRule="auto"/>
        <w:jc w:val="left"/>
        <w:rPr>
          <w:rFonts w:hint="eastAsia" w:ascii="宋体" w:hAnsi="宋体" w:cs="宋体"/>
          <w:b/>
          <w:bCs/>
          <w:color w:val="000000"/>
          <w:kern w:val="0"/>
          <w:sz w:val="24"/>
          <w:szCs w:val="24"/>
        </w:rPr>
      </w:pPr>
    </w:p>
    <w:p>
      <w:pPr>
        <w:widowControl/>
        <w:spacing w:line="360" w:lineRule="auto"/>
        <w:jc w:val="left"/>
        <w:rPr>
          <w:rFonts w:hint="eastAsia" w:ascii="宋体" w:hAnsi="宋体" w:cs="宋体"/>
          <w:color w:val="000000"/>
          <w:kern w:val="0"/>
          <w:sz w:val="24"/>
          <w:szCs w:val="24"/>
        </w:rPr>
      </w:pPr>
      <w:r>
        <w:rPr>
          <w:rFonts w:hint="eastAsia" w:ascii="宋体" w:hAnsi="宋体" w:cs="宋体"/>
          <w:bCs/>
          <w:color w:val="000000"/>
          <w:kern w:val="0"/>
          <w:sz w:val="24"/>
          <w:szCs w:val="24"/>
        </w:rPr>
        <w:t>4.2.季度维保项目（内容）和要求</w:t>
      </w:r>
      <w:r>
        <w:rPr>
          <w:rFonts w:hint="eastAsia" w:ascii="宋体" w:hAnsi="宋体" w:cs="宋体"/>
          <w:color w:val="000000"/>
          <w:kern w:val="0"/>
          <w:sz w:val="24"/>
          <w:szCs w:val="24"/>
        </w:rPr>
        <w:t>（表</w:t>
      </w:r>
      <w:r>
        <w:rPr>
          <w:color w:val="000000"/>
          <w:kern w:val="0"/>
          <w:sz w:val="24"/>
          <w:szCs w:val="24"/>
        </w:rPr>
        <w:t>A</w:t>
      </w:r>
      <w:r>
        <w:rPr>
          <w:rFonts w:hint="eastAsia"/>
          <w:color w:val="000000"/>
          <w:kern w:val="0"/>
          <w:sz w:val="24"/>
          <w:szCs w:val="24"/>
        </w:rPr>
        <w:t>2）：</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季度维保项目（内容）和要求除应符合</w:t>
      </w:r>
      <w:r>
        <w:rPr>
          <w:color w:val="000000"/>
          <w:kern w:val="0"/>
          <w:sz w:val="24"/>
          <w:szCs w:val="24"/>
        </w:rPr>
        <w:t>A1</w:t>
      </w:r>
      <w:r>
        <w:rPr>
          <w:rFonts w:hint="eastAsia" w:ascii="宋体" w:hAnsi="宋体" w:cs="宋体"/>
          <w:color w:val="000000"/>
          <w:kern w:val="0"/>
          <w:sz w:val="24"/>
          <w:szCs w:val="24"/>
        </w:rPr>
        <w:t>的要求外，还应当符合表</w:t>
      </w:r>
      <w:r>
        <w:rPr>
          <w:color w:val="000000"/>
          <w:kern w:val="0"/>
          <w:sz w:val="24"/>
          <w:szCs w:val="24"/>
        </w:rPr>
        <w:t>A2</w:t>
      </w:r>
      <w:r>
        <w:rPr>
          <w:rFonts w:hint="eastAsia" w:ascii="宋体" w:hAnsi="宋体" w:cs="宋体"/>
          <w:color w:val="000000"/>
          <w:kern w:val="0"/>
          <w:sz w:val="24"/>
          <w:szCs w:val="24"/>
        </w:rPr>
        <w:t>的要求：</w:t>
      </w:r>
    </w:p>
    <w:tbl>
      <w:tblPr>
        <w:tblStyle w:val="21"/>
        <w:tblW w:w="0" w:type="auto"/>
        <w:tblInd w:w="1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4"/>
        <w:gridCol w:w="3139"/>
        <w:gridCol w:w="42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维保项目（内容）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减速机润滑油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油量适宜，除蜗杆伸出端外均无渗油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2</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制动衬</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3</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编码器</w:t>
            </w:r>
            <w:r>
              <w:rPr>
                <w:rFonts w:hint="eastAsia" w:ascii="宋体" w:hAnsi="宋体" w:cs="宋体"/>
                <w:color w:val="FF0000"/>
                <w:kern w:val="0"/>
                <w:sz w:val="24"/>
                <w:szCs w:val="24"/>
              </w:rPr>
              <w:t> </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4</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选层器动静触点</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清洁，无烧蚀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5</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曳引轮槽、悬挂装置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清洁，钢丝绳无严重油腻，张力均匀，符合制造单位要求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6</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限速器轮槽、限速器钢丝绳</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清洁，无严重油腻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7</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靴衬、滚轮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8</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验证轿门关闭的电气安全装置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9</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层门、轿门系统中转动钢丝绳、链条、胶带</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按制造单位要求进行清洁、调整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10</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层门门导靴</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11</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消防开关</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12</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耗能缓冲器</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电气安全装置功能有效，油量适宜，柱塞无锈蚀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7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13</w:t>
            </w:r>
          </w:p>
        </w:tc>
        <w:tc>
          <w:tcPr>
            <w:tcW w:w="3142"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限速器张紧轮装置和电气安全装置</w:t>
            </w:r>
          </w:p>
        </w:tc>
        <w:tc>
          <w:tcPr>
            <w:tcW w:w="4279"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bl>
    <w:p>
      <w:pPr>
        <w:widowControl/>
        <w:jc w:val="left"/>
        <w:rPr>
          <w:rFonts w:hint="eastAsia"/>
          <w:b/>
          <w:bCs/>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bCs/>
          <w:color w:val="000000"/>
          <w:kern w:val="0"/>
          <w:sz w:val="24"/>
          <w:szCs w:val="24"/>
        </w:rPr>
        <w:t>4.3.半年维保项目（内容）和要求</w:t>
      </w:r>
      <w:r>
        <w:rPr>
          <w:rFonts w:hint="eastAsia" w:ascii="宋体" w:hAnsi="宋体" w:cs="宋体"/>
          <w:color w:val="000000"/>
          <w:kern w:val="0"/>
          <w:sz w:val="24"/>
          <w:szCs w:val="24"/>
        </w:rPr>
        <w:t>（表</w:t>
      </w:r>
      <w:r>
        <w:rPr>
          <w:color w:val="000000"/>
          <w:kern w:val="0"/>
          <w:sz w:val="24"/>
          <w:szCs w:val="24"/>
        </w:rPr>
        <w:t>A</w:t>
      </w:r>
      <w:r>
        <w:rPr>
          <w:rFonts w:hint="eastAsia"/>
          <w:color w:val="000000"/>
          <w:kern w:val="0"/>
          <w:sz w:val="24"/>
          <w:szCs w:val="24"/>
        </w:rPr>
        <w:t>3）：</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半年维保项目（内容）和要求除应符合</w:t>
      </w:r>
      <w:r>
        <w:rPr>
          <w:color w:val="000000"/>
          <w:kern w:val="0"/>
          <w:sz w:val="24"/>
          <w:szCs w:val="24"/>
        </w:rPr>
        <w:t>A2</w:t>
      </w:r>
      <w:r>
        <w:rPr>
          <w:rFonts w:hint="eastAsia" w:ascii="宋体" w:hAnsi="宋体" w:cs="宋体"/>
          <w:color w:val="000000"/>
          <w:kern w:val="0"/>
          <w:sz w:val="24"/>
          <w:szCs w:val="24"/>
        </w:rPr>
        <w:t>的要求外，还应当符合表</w:t>
      </w:r>
      <w:r>
        <w:rPr>
          <w:color w:val="000000"/>
          <w:kern w:val="0"/>
          <w:sz w:val="24"/>
          <w:szCs w:val="24"/>
        </w:rPr>
        <w:t>A3</w:t>
      </w:r>
      <w:r>
        <w:rPr>
          <w:rFonts w:hint="eastAsia" w:ascii="宋体" w:hAnsi="宋体" w:cs="宋体"/>
          <w:color w:val="000000"/>
          <w:kern w:val="0"/>
          <w:sz w:val="24"/>
          <w:szCs w:val="24"/>
        </w:rPr>
        <w:t>的要求:</w:t>
      </w:r>
    </w:p>
    <w:tbl>
      <w:tblPr>
        <w:tblStyle w:val="21"/>
        <w:tblW w:w="0" w:type="auto"/>
        <w:tblInd w:w="130" w:type="dxa"/>
        <w:tblLayout w:type="autofit"/>
        <w:tblCellMar>
          <w:top w:w="0" w:type="dxa"/>
          <w:left w:w="0" w:type="dxa"/>
          <w:bottom w:w="0" w:type="dxa"/>
          <w:right w:w="0" w:type="dxa"/>
        </w:tblCellMar>
      </w:tblPr>
      <w:tblGrid>
        <w:gridCol w:w="555"/>
        <w:gridCol w:w="3459"/>
        <w:gridCol w:w="4167"/>
      </w:tblGrid>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维保项目（内容）</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维保基本要求</w:t>
            </w:r>
          </w:p>
        </w:tc>
      </w:tr>
      <w:tr>
        <w:tblPrEx>
          <w:tblCellMar>
            <w:top w:w="0" w:type="dxa"/>
            <w:left w:w="0" w:type="dxa"/>
            <w:bottom w:w="0" w:type="dxa"/>
            <w:right w:w="0" w:type="dxa"/>
          </w:tblCellMar>
        </w:tblPrEx>
        <w:trPr>
          <w:trHeight w:val="380" w:hRule="atLeast"/>
        </w:trPr>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1</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电动机与减速器联轴器</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连接无松动，弹性元件外观良好，无老化等现象</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2</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驱动轮、导向轮轴承部分</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无异常声，无振动，润滑良好</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3</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曳引轮槽</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磨损量不超过制造单位要求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kern w:val="0"/>
                <w:sz w:val="24"/>
                <w:szCs w:val="24"/>
              </w:rPr>
            </w:pP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制动器动作状态监测装置</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正常工作，制动器动作可靠</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4</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制动器上检测开关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工作正常，制动器动作可靠</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5</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控制柜内各接线端子</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各接线紧固、整齐，线号齐全清晰</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6</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控制柜各仪表</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显示正常</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7</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井道、对重、轿顶各反绳轮轴承部分</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无异常声，无振动，润滑良好</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kern w:val="0"/>
                <w:sz w:val="24"/>
                <w:szCs w:val="24"/>
              </w:rPr>
              <w:t>8</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悬挂装置、补偿绳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磨损量，断丝数不超过要求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9</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绳头组合</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螺母无松动</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10</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限速器钢丝绳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磨损量，断丝数不超过制造单位要求</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11</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层门、轿门门扇</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门扇各相关间隙符合标准值</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12</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轿门开门限制装置</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工作正常</w:t>
            </w:r>
          </w:p>
        </w:tc>
      </w:tr>
      <w:tr>
        <w:tblPrEx>
          <w:tblCellMar>
            <w:top w:w="0" w:type="dxa"/>
            <w:left w:w="0" w:type="dxa"/>
            <w:bottom w:w="0" w:type="dxa"/>
            <w:right w:w="0" w:type="dxa"/>
          </w:tblCellMar>
        </w:tblPrEx>
        <w:tc>
          <w:tcPr>
            <w:tcW w:w="555" w:type="dxa"/>
            <w:tcBorders>
              <w:top w:val="single" w:color="auto" w:sz="4" w:space="0"/>
              <w:left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13</w:t>
            </w:r>
          </w:p>
        </w:tc>
        <w:tc>
          <w:tcPr>
            <w:tcW w:w="3462" w:type="dxa"/>
            <w:tcBorders>
              <w:top w:val="single" w:color="auto" w:sz="4" w:space="0"/>
              <w:left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对重缓冲距离</w:t>
            </w:r>
          </w:p>
        </w:tc>
        <w:tc>
          <w:tcPr>
            <w:tcW w:w="4171" w:type="dxa"/>
            <w:tcBorders>
              <w:top w:val="single" w:color="auto" w:sz="4" w:space="0"/>
              <w:lef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符合标准值</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14</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补偿链（绳）与轿厢、对重接合处</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固定、无松动</w:t>
            </w:r>
          </w:p>
        </w:tc>
      </w:tr>
      <w:tr>
        <w:tblPrEx>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15</w:t>
            </w:r>
          </w:p>
        </w:tc>
        <w:tc>
          <w:tcPr>
            <w:tcW w:w="34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上、下极限开关</w:t>
            </w:r>
          </w:p>
        </w:tc>
        <w:tc>
          <w:tcPr>
            <w:tcW w:w="417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bl>
    <w:p>
      <w:pPr>
        <w:widowControl/>
        <w:jc w:val="left"/>
        <w:rPr>
          <w:rFonts w:hint="eastAsia"/>
          <w:b/>
          <w:bCs/>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bCs/>
          <w:color w:val="000000"/>
          <w:kern w:val="0"/>
          <w:sz w:val="24"/>
          <w:szCs w:val="24"/>
        </w:rPr>
        <w:t>4.4.年度维保项目（内容）和要求</w:t>
      </w:r>
      <w:r>
        <w:rPr>
          <w:rFonts w:hint="eastAsia" w:ascii="宋体" w:hAnsi="宋体" w:cs="宋体"/>
          <w:color w:val="000000"/>
          <w:kern w:val="0"/>
          <w:sz w:val="24"/>
          <w:szCs w:val="24"/>
        </w:rPr>
        <w:t>（表</w:t>
      </w:r>
      <w:r>
        <w:rPr>
          <w:color w:val="000000"/>
          <w:kern w:val="0"/>
          <w:sz w:val="24"/>
          <w:szCs w:val="24"/>
        </w:rPr>
        <w:t>A</w:t>
      </w:r>
      <w:r>
        <w:rPr>
          <w:rFonts w:hint="eastAsia"/>
          <w:color w:val="000000"/>
          <w:kern w:val="0"/>
          <w:sz w:val="24"/>
          <w:szCs w:val="24"/>
        </w:rPr>
        <w:t>4）：</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年度维保项目（内容）和要求除应符合</w:t>
      </w:r>
      <w:r>
        <w:rPr>
          <w:color w:val="000000"/>
          <w:kern w:val="0"/>
          <w:sz w:val="24"/>
          <w:szCs w:val="24"/>
        </w:rPr>
        <w:t>A3</w:t>
      </w:r>
      <w:r>
        <w:rPr>
          <w:rFonts w:hint="eastAsia" w:ascii="宋体" w:hAnsi="宋体" w:cs="宋体"/>
          <w:color w:val="000000"/>
          <w:kern w:val="0"/>
          <w:sz w:val="24"/>
          <w:szCs w:val="24"/>
        </w:rPr>
        <w:t>的要求外，还应当符合表</w:t>
      </w:r>
      <w:r>
        <w:rPr>
          <w:color w:val="000000"/>
          <w:kern w:val="0"/>
          <w:sz w:val="24"/>
          <w:szCs w:val="24"/>
        </w:rPr>
        <w:t>A4</w:t>
      </w:r>
      <w:r>
        <w:rPr>
          <w:rFonts w:hint="eastAsia" w:ascii="宋体" w:hAnsi="宋体" w:cs="宋体"/>
          <w:color w:val="000000"/>
          <w:kern w:val="0"/>
          <w:sz w:val="24"/>
          <w:szCs w:val="24"/>
        </w:rPr>
        <w:t>的要求:</w:t>
      </w:r>
    </w:p>
    <w:tbl>
      <w:tblPr>
        <w:tblStyle w:val="21"/>
        <w:tblW w:w="848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75"/>
        <w:gridCol w:w="3496"/>
        <w:gridCol w:w="44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trPr>
        <w:tc>
          <w:tcPr>
            <w:tcW w:w="575"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维保项目（内容）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减速机润滑油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按照制造单位要求适时更换，保证油质符合要求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2</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控制柜接触器，断电器触点</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接触良好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3</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制动器铁芯（柱塞）</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进行清洁、润滑、检查，磨损量不超过制造单位要求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4</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制动器制动能力</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符合制造单位要求，保持有足够的制动力，必须按时进行轿厢装载125%额定载重量的制动试验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5</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导电回路绝缘性能测试</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6</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限速器安全钳联动试验（对于使用年限不超过15年的限速器，每2年进行一次限速器动作速度校验；对于使用年限超过15年的限速器，每年进行一次限速器动作速度校验）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7</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上行超速保护装置动作试验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8</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轿厢意外移动保护装置动作试验</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9</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轿顶、轿厢架、轿门及其附件安装螺栓</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10</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轿厢和对重/平衡重的导轨支架</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11</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轿厢和对重/平衡重的导轨</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清洁，压板牢固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12</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随行电缆</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无损伤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13</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层门装置和地坎</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无影响正常使用的变形，各安装螺栓紧固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14</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轿厢称重装置</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准确有效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15</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安全钳钳座</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16</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轿底各安装螺栓</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 w:hRule="atLeast"/>
        </w:trPr>
        <w:tc>
          <w:tcPr>
            <w:tcW w:w="57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17</w:t>
            </w:r>
          </w:p>
        </w:tc>
        <w:tc>
          <w:tcPr>
            <w:tcW w:w="3496"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缓冲器</w:t>
            </w:r>
          </w:p>
        </w:tc>
        <w:tc>
          <w:tcPr>
            <w:tcW w:w="4415"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固定，无松动</w:t>
            </w:r>
          </w:p>
        </w:tc>
      </w:tr>
    </w:tbl>
    <w:p>
      <w:pPr>
        <w:widowControl/>
        <w:jc w:val="left"/>
        <w:rPr>
          <w:rFonts w:hint="eastAsia"/>
          <w:color w:val="auto"/>
          <w:kern w:val="0"/>
          <w:sz w:val="24"/>
          <w:szCs w:val="24"/>
        </w:rPr>
      </w:pPr>
      <w:r>
        <w:rPr>
          <w:color w:val="auto"/>
          <w:kern w:val="0"/>
          <w:sz w:val="24"/>
          <w:szCs w:val="24"/>
        </w:rPr>
        <w:t> </w:t>
      </w:r>
    </w:p>
    <w:p>
      <w:pPr>
        <w:widowControl/>
        <w:spacing w:line="360" w:lineRule="auto"/>
        <w:ind w:firstLine="240" w:firstLineChars="100"/>
        <w:jc w:val="left"/>
        <w:rPr>
          <w:rFonts w:hint="eastAsia"/>
          <w:color w:val="auto"/>
          <w:kern w:val="0"/>
          <w:sz w:val="24"/>
          <w:szCs w:val="24"/>
        </w:rPr>
      </w:pPr>
      <w:r>
        <w:rPr>
          <w:rFonts w:hint="eastAsia"/>
          <w:color w:val="auto"/>
          <w:kern w:val="0"/>
          <w:sz w:val="24"/>
          <w:szCs w:val="24"/>
        </w:rPr>
        <w:t xml:space="preserve">注 </w:t>
      </w:r>
      <w:r>
        <w:rPr>
          <w:rFonts w:hint="eastAsia"/>
          <w:color w:val="auto"/>
          <w:kern w:val="0"/>
          <w:sz w:val="24"/>
          <w:szCs w:val="24"/>
          <w:lang w:eastAsia="zh-CN"/>
        </w:rPr>
        <w:t>表</w:t>
      </w:r>
      <w:r>
        <w:rPr>
          <w:rFonts w:hint="eastAsia"/>
          <w:color w:val="auto"/>
          <w:kern w:val="0"/>
          <w:sz w:val="24"/>
          <w:szCs w:val="24"/>
        </w:rPr>
        <w:t>A1：如果某些电梯没有表中的项目(内容)，如有的电梯不含有某种部件，项目(内容)可适当进行调整(下同)。</w:t>
      </w:r>
    </w:p>
    <w:p>
      <w:pPr>
        <w:widowControl/>
        <w:spacing w:line="360" w:lineRule="auto"/>
        <w:ind w:firstLine="240" w:firstLineChars="100"/>
        <w:jc w:val="left"/>
        <w:rPr>
          <w:rFonts w:hint="eastAsia"/>
          <w:color w:val="auto"/>
          <w:kern w:val="0"/>
          <w:sz w:val="24"/>
          <w:szCs w:val="24"/>
        </w:rPr>
      </w:pPr>
      <w:r>
        <w:rPr>
          <w:rFonts w:hint="eastAsia"/>
          <w:color w:val="auto"/>
          <w:kern w:val="0"/>
          <w:sz w:val="24"/>
          <w:szCs w:val="24"/>
        </w:rPr>
        <w:t xml:space="preserve">注 </w:t>
      </w:r>
      <w:r>
        <w:rPr>
          <w:rFonts w:hint="eastAsia"/>
          <w:color w:val="auto"/>
          <w:kern w:val="0"/>
          <w:sz w:val="24"/>
          <w:szCs w:val="24"/>
          <w:lang w:eastAsia="zh-CN"/>
        </w:rPr>
        <w:t>表</w:t>
      </w:r>
      <w:r>
        <w:rPr>
          <w:rFonts w:hint="eastAsia"/>
          <w:color w:val="auto"/>
          <w:kern w:val="0"/>
          <w:sz w:val="24"/>
          <w:szCs w:val="24"/>
        </w:rPr>
        <w:t>A2：维护保养项目(内容)和要求中对测试、试验有明确规定的，应当按照规定进行测试、试验，没有明确规定的，一般为检查、调整、清洁和润滑(下同)。</w:t>
      </w:r>
    </w:p>
    <w:p>
      <w:pPr>
        <w:widowControl/>
        <w:spacing w:line="360" w:lineRule="auto"/>
        <w:ind w:firstLine="240" w:firstLineChars="100"/>
        <w:jc w:val="left"/>
        <w:rPr>
          <w:rFonts w:hint="eastAsia"/>
          <w:color w:val="auto"/>
          <w:kern w:val="0"/>
          <w:sz w:val="24"/>
          <w:szCs w:val="24"/>
        </w:rPr>
      </w:pPr>
      <w:r>
        <w:rPr>
          <w:rFonts w:hint="eastAsia"/>
          <w:color w:val="auto"/>
          <w:kern w:val="0"/>
          <w:sz w:val="24"/>
          <w:szCs w:val="24"/>
        </w:rPr>
        <w:t xml:space="preserve">注 </w:t>
      </w:r>
      <w:r>
        <w:rPr>
          <w:rFonts w:hint="eastAsia"/>
          <w:color w:val="auto"/>
          <w:kern w:val="0"/>
          <w:sz w:val="24"/>
          <w:szCs w:val="24"/>
          <w:lang w:eastAsia="zh-CN"/>
        </w:rPr>
        <w:t>表</w:t>
      </w:r>
      <w:r>
        <w:rPr>
          <w:rFonts w:hint="eastAsia"/>
          <w:color w:val="auto"/>
          <w:kern w:val="0"/>
          <w:sz w:val="24"/>
          <w:szCs w:val="24"/>
        </w:rPr>
        <w:t>A3：维护保养基本要求中，规定为“符合标准值”的，是指符合对应的国家标准、行业标准和制造单位要求(下同)。</w:t>
      </w:r>
    </w:p>
    <w:p>
      <w:pPr>
        <w:widowControl/>
        <w:spacing w:line="360" w:lineRule="auto"/>
        <w:ind w:firstLine="240" w:firstLineChars="100"/>
        <w:jc w:val="left"/>
        <w:rPr>
          <w:rFonts w:hint="eastAsia"/>
          <w:color w:val="auto"/>
          <w:kern w:val="0"/>
          <w:sz w:val="24"/>
          <w:szCs w:val="24"/>
        </w:rPr>
      </w:pPr>
      <w:r>
        <w:rPr>
          <w:rFonts w:hint="eastAsia"/>
          <w:color w:val="auto"/>
          <w:kern w:val="0"/>
          <w:sz w:val="24"/>
          <w:szCs w:val="24"/>
        </w:rPr>
        <w:t xml:space="preserve">注 </w:t>
      </w:r>
      <w:r>
        <w:rPr>
          <w:rFonts w:hint="eastAsia"/>
          <w:color w:val="auto"/>
          <w:kern w:val="0"/>
          <w:sz w:val="24"/>
          <w:szCs w:val="24"/>
          <w:lang w:eastAsia="zh-CN"/>
        </w:rPr>
        <w:t>表</w:t>
      </w:r>
      <w:r>
        <w:rPr>
          <w:rFonts w:hint="eastAsia"/>
          <w:color w:val="auto"/>
          <w:kern w:val="0"/>
          <w:sz w:val="24"/>
          <w:szCs w:val="24"/>
        </w:rPr>
        <w:t>A4：维护保养基本要求中，规定为“制造单位要求”的，按照制造单位的要求，其他没有明确“要求”的，应当为安全技术规范、标准或者制造单位等的要求(下同)。</w:t>
      </w:r>
    </w:p>
    <w:p>
      <w:pPr>
        <w:rPr>
          <w:rFonts w:hint="eastAsia"/>
          <w:b/>
          <w:sz w:val="28"/>
          <w:szCs w:val="28"/>
        </w:rPr>
      </w:pPr>
      <w:r>
        <w:rPr>
          <w:rFonts w:hint="eastAsia"/>
          <w:b/>
          <w:sz w:val="28"/>
          <w:szCs w:val="28"/>
          <w:lang w:eastAsia="zh-CN"/>
        </w:rPr>
        <w:t>附件</w:t>
      </w:r>
      <w:r>
        <w:rPr>
          <w:rFonts w:hint="eastAsia"/>
          <w:b/>
          <w:sz w:val="28"/>
          <w:szCs w:val="28"/>
          <w:lang w:val="en-US" w:eastAsia="zh-CN"/>
        </w:rPr>
        <w:t>2：</w:t>
      </w:r>
      <w:r>
        <w:rPr>
          <w:rFonts w:hint="eastAsia"/>
          <w:b/>
          <w:sz w:val="28"/>
          <w:szCs w:val="28"/>
        </w:rPr>
        <w:t xml:space="preserve"> 500元及以下免费更换配件清单:（包含但不限于以下配件）</w:t>
      </w:r>
    </w:p>
    <w:p>
      <w:pPr>
        <w:rPr>
          <w:rFonts w:hint="eastAsia"/>
          <w:b/>
          <w:sz w:val="28"/>
          <w:szCs w:val="28"/>
        </w:rPr>
      </w:pPr>
      <w:r>
        <w:rPr>
          <w:rFonts w:hint="eastAsia" w:ascii="宋体" w:hAnsi="宋体"/>
          <w:sz w:val="24"/>
          <w:lang w:val="en-US" w:eastAsia="zh-CN"/>
        </w:rPr>
        <w:t xml:space="preserve"> </w:t>
      </w:r>
      <w:r>
        <w:rPr>
          <w:rFonts w:hint="eastAsia" w:ascii="宋体" w:hAnsi="宋体"/>
          <w:sz w:val="24"/>
        </w:rPr>
        <w:t>500元</w:t>
      </w:r>
      <w:r>
        <w:rPr>
          <w:rFonts w:hint="eastAsia" w:ascii="宋体" w:hAnsi="宋体"/>
          <w:sz w:val="24"/>
          <w:lang w:eastAsia="zh-CN"/>
        </w:rPr>
        <w:t>及</w:t>
      </w:r>
      <w:r>
        <w:rPr>
          <w:rFonts w:hint="eastAsia" w:ascii="宋体" w:hAnsi="宋体"/>
          <w:sz w:val="24"/>
        </w:rPr>
        <w:t>以下免费更换配件清单及500元以上配件价格清单</w:t>
      </w:r>
    </w:p>
    <w:p>
      <w:pPr>
        <w:widowControl/>
        <w:jc w:val="left"/>
        <w:rPr>
          <w:rFonts w:hint="eastAsia" w:ascii="宋体" w:hAnsi="宋体" w:cs="宋体"/>
          <w:color w:val="000000"/>
          <w:kern w:val="0"/>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495"/>
        <w:gridCol w:w="249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各种电容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上行按钮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门锁接触器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中间/外招按钮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微动开关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下行按钮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门机编码器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轿厢按钮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层门开关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检修开关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安全接触器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控制继电器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各种电阻</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急停开关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对重靴衬</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辅助触头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安全钳开关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门联锁触点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语音报站音响</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限速器开关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接触器触头</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缓冲器开关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限速器张紧轮轴承</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抱闸模块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门滑块</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三角锁</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应急电源</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抱闸检测开关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润滑油</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厅门滑块</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数码显示管</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对重油杯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各种按钮开关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轿厢油杯</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抱闸接触器</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对重靴衬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轴承</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轿厢靴衬</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lang w:eastAsia="zh-CN"/>
              </w:rPr>
              <w:t>轿厢内风扇</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语音报站音响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油封</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轿厢警铃、蜂鸣器</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弹簧</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限速器张紧轮轴承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导靴</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极限开关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保险管</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门传动钢丝绳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门重锤钢丝绳</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门滚轮</w:t>
            </w:r>
          </w:p>
        </w:tc>
        <w:tc>
          <w:tcPr>
            <w:tcW w:w="249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其他</w:t>
            </w:r>
          </w:p>
        </w:tc>
        <w:tc>
          <w:tcPr>
            <w:tcW w:w="24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Pr>
        <w:widowControl/>
        <w:jc w:val="left"/>
        <w:rPr>
          <w:rFonts w:hint="eastAsia" w:ascii="宋体" w:hAnsi="宋体" w:cs="宋体"/>
          <w:color w:val="000000"/>
          <w:kern w:val="0"/>
          <w:sz w:val="24"/>
        </w:rPr>
      </w:pPr>
    </w:p>
    <w:p>
      <w:pPr>
        <w:widowControl/>
        <w:jc w:val="left"/>
        <w:rPr>
          <w:rFonts w:hint="eastAsia" w:ascii="宋体" w:hAnsi="宋体" w:cs="宋体"/>
          <w:color w:val="000000"/>
          <w:kern w:val="0"/>
          <w:sz w:val="24"/>
        </w:rPr>
      </w:pPr>
    </w:p>
    <w:p>
      <w:pPr>
        <w:rPr>
          <w:rFonts w:hint="eastAsia" w:ascii="宋体" w:hAnsi="宋体" w:cs="宋体"/>
          <w:color w:val="000000"/>
          <w:kern w:val="0"/>
          <w:sz w:val="24"/>
        </w:rPr>
      </w:pPr>
    </w:p>
    <w:p>
      <w:pPr>
        <w:rPr>
          <w:rFonts w:hint="eastAsia"/>
          <w:b/>
          <w:sz w:val="28"/>
          <w:szCs w:val="28"/>
        </w:rPr>
      </w:pPr>
      <w:r>
        <w:rPr>
          <w:rFonts w:hint="eastAsia"/>
          <w:b/>
          <w:sz w:val="28"/>
          <w:szCs w:val="28"/>
          <w:lang w:val="en-US" w:eastAsia="zh-CN"/>
        </w:rPr>
        <w:t>附件3</w:t>
      </w:r>
      <w:r>
        <w:rPr>
          <w:rFonts w:hint="eastAsia" w:ascii="Times New Roman" w:hAnsi="Times New Roman" w:eastAsia="宋体" w:cs="Times New Roman"/>
          <w:b/>
          <w:sz w:val="28"/>
          <w:szCs w:val="28"/>
        </w:rPr>
        <w:t>、500元以上配件价格清单</w:t>
      </w:r>
      <w:r>
        <w:rPr>
          <w:rFonts w:hint="eastAsia" w:ascii="Times New Roman" w:hAnsi="Times New Roman" w:eastAsia="宋体" w:cs="Times New Roman"/>
          <w:b/>
          <w:sz w:val="28"/>
          <w:szCs w:val="28"/>
          <w:lang w:eastAsia="zh-CN"/>
        </w:rPr>
        <w:t>：</w:t>
      </w:r>
    </w:p>
    <w:p>
      <w:pPr>
        <w:rPr>
          <w:rFonts w:hint="eastAsia"/>
          <w:sz w:val="24"/>
          <w:szCs w:val="24"/>
        </w:rPr>
      </w:pPr>
      <w:r>
        <w:rPr>
          <w:rFonts w:hint="eastAsia"/>
          <w:sz w:val="24"/>
          <w:szCs w:val="24"/>
        </w:rPr>
        <w:t>广日电梯配件价格：</w:t>
      </w:r>
    </w:p>
    <w:tbl>
      <w:tblPr>
        <w:tblStyle w:val="21"/>
        <w:tblW w:w="8248" w:type="dxa"/>
        <w:tblInd w:w="113" w:type="dxa"/>
        <w:tblLayout w:type="autofit"/>
        <w:tblCellMar>
          <w:top w:w="0" w:type="dxa"/>
          <w:left w:w="108" w:type="dxa"/>
          <w:bottom w:w="0" w:type="dxa"/>
          <w:right w:w="108" w:type="dxa"/>
        </w:tblCellMar>
      </w:tblPr>
      <w:tblGrid>
        <w:gridCol w:w="2086"/>
        <w:gridCol w:w="1271"/>
        <w:gridCol w:w="2804"/>
        <w:gridCol w:w="807"/>
        <w:gridCol w:w="1280"/>
      </w:tblGrid>
      <w:tr>
        <w:tblPrEx>
          <w:tblCellMar>
            <w:top w:w="0" w:type="dxa"/>
            <w:left w:w="108" w:type="dxa"/>
            <w:bottom w:w="0" w:type="dxa"/>
            <w:right w:w="108" w:type="dxa"/>
          </w:tblCellMar>
        </w:tblPrEx>
        <w:trPr>
          <w:trHeight w:val="104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配件名称</w:t>
            </w:r>
          </w:p>
        </w:tc>
        <w:tc>
          <w:tcPr>
            <w:tcW w:w="12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品牌</w:t>
            </w:r>
          </w:p>
        </w:tc>
        <w:tc>
          <w:tcPr>
            <w:tcW w:w="2804" w:type="dxa"/>
            <w:tcBorders>
              <w:top w:val="single" w:color="auto" w:sz="4" w:space="0"/>
              <w:left w:val="nil"/>
              <w:bottom w:val="single" w:color="auto" w:sz="4" w:space="0"/>
              <w:right w:val="single" w:color="auto" w:sz="4" w:space="0"/>
            </w:tcBorders>
            <w:noWrap w:val="0"/>
            <w:vAlign w:val="center"/>
          </w:tcPr>
          <w:p>
            <w:pPr>
              <w:widowControl/>
              <w:jc w:val="left"/>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规格/型号</w:t>
            </w:r>
          </w:p>
        </w:tc>
        <w:tc>
          <w:tcPr>
            <w:tcW w:w="807" w:type="dxa"/>
            <w:tcBorders>
              <w:top w:val="single" w:color="auto" w:sz="4" w:space="0"/>
              <w:left w:val="nil"/>
              <w:bottom w:val="single" w:color="auto" w:sz="4" w:space="0"/>
              <w:right w:val="single" w:color="auto" w:sz="4" w:space="0"/>
            </w:tcBorders>
            <w:noWrap w:val="0"/>
            <w:vAlign w:val="center"/>
          </w:tcPr>
          <w:p>
            <w:pPr>
              <w:widowControl/>
              <w:jc w:val="left"/>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单位</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b/>
                <w:bCs/>
                <w:color w:val="000000"/>
                <w:kern w:val="0"/>
                <w:sz w:val="22"/>
                <w:szCs w:val="22"/>
                <w:lang w:eastAsia="zh-CN"/>
              </w:rPr>
            </w:pPr>
            <w:r>
              <w:rPr>
                <w:rFonts w:hint="eastAsia" w:ascii="等线" w:hAnsi="等线" w:eastAsia="等线" w:cs="宋体"/>
                <w:b/>
                <w:bCs/>
                <w:color w:val="000000"/>
                <w:kern w:val="0"/>
                <w:sz w:val="22"/>
                <w:szCs w:val="22"/>
                <w:lang w:eastAsia="zh-CN"/>
              </w:rPr>
              <w:t>价格（元）</w:t>
            </w: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220V变压器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TKB-220-GR</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位置检测器组装（平层光电）</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GLS126NT</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涨紧装置</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XS3-B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8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交流主接触器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波力国际贸易</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SC-E3P-CAC220(4NO)</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控制开关电源</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广州日滨</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VC240XH380-A</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液压缓冲器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HYF210A</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MPMI门电机</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MPM65-N2-195-G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语音报站板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SPB-02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语音报站板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SPB-02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轿内显示板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  GR-P-C00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轿顶电器箱总装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16812966B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GRZ轿厢通讯板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日滨</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GRZ</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 轿底称重检测装置</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GRCZ</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73"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光幕</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上海三斯</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CEDES TX2000-16BCK</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5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机房导向轮装配</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16806603A0000（7槽）</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限速器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1.75M/S  XS3-B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旋转编码器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多摩川</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TS5246N160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603"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客梯制动器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14813719A000（14E）</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618"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门机控制器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GRACE</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GRACE01，  异步899-G</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890"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反绳轮装配</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轿顶反绳轮轿顶轮装配，7×φ10钢丝绳用</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对重导向轮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16809063C0000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轿顶导向轮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16809063D0000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曳引轮（客梯）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 沈阳蓝光</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14805243B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1086"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医梯制动器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DZE-16-3   并联 4.8A  工作行程4MM，额定开闸力：3400N</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76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对重轮装配（医梯）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16807980A0000（7槽）</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76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曳引轮(医梯)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沈阳蓝光</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14805243E（7槽 适）</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GRZ主控板</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EV-IEL01</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709"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UPS电源（停电应急平层）</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科华</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14814870A0000（科华UPS电源）</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变频控制器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艾默生</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EV-IEL01-4T0150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0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变频控制器</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艾默生</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EV-IEL01-4T0220</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 随行电缆 </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16820138D</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电梯钢丝绳</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Φ10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限速器钢丝绳</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Φ8</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米</w:t>
            </w:r>
          </w:p>
        </w:tc>
        <w:tc>
          <w:tcPr>
            <w:tcW w:w="1280" w:type="dxa"/>
            <w:tcBorders>
              <w:top w:val="nil"/>
              <w:left w:val="nil"/>
              <w:bottom w:val="single" w:color="auto" w:sz="4" w:space="0"/>
              <w:right w:val="single" w:color="auto" w:sz="4" w:space="0"/>
            </w:tcBorders>
            <w:noWrap/>
            <w:vAlign w:val="bottom"/>
          </w:tcPr>
          <w:p>
            <w:pPr>
              <w:widowControl/>
              <w:jc w:val="right"/>
              <w:rPr>
                <w:rFonts w:hint="default"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WFB补偿缆 （医梯）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xml:space="preserve">WFB150 </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41" w:hRule="atLeast"/>
        </w:trPr>
        <w:tc>
          <w:tcPr>
            <w:tcW w:w="2086"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补偿缆（客梯）</w:t>
            </w:r>
          </w:p>
        </w:tc>
        <w:tc>
          <w:tcPr>
            <w:tcW w:w="127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广日</w:t>
            </w:r>
          </w:p>
        </w:tc>
        <w:tc>
          <w:tcPr>
            <w:tcW w:w="2804"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13811232B</w:t>
            </w:r>
          </w:p>
        </w:tc>
        <w:tc>
          <w:tcPr>
            <w:tcW w:w="8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米</w:t>
            </w:r>
          </w:p>
        </w:tc>
        <w:tc>
          <w:tcPr>
            <w:tcW w:w="1280"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bl>
    <w:p>
      <w:pPr>
        <w:rPr>
          <w:rFonts w:hint="eastAsia"/>
          <w:sz w:val="24"/>
          <w:szCs w:val="24"/>
        </w:rPr>
      </w:pPr>
    </w:p>
    <w:p>
      <w:pPr>
        <w:tabs>
          <w:tab w:val="left" w:pos="3474"/>
        </w:tabs>
        <w:jc w:val="left"/>
      </w:pPr>
    </w:p>
    <w:p>
      <w:pPr>
        <w:tabs>
          <w:tab w:val="left" w:pos="3474"/>
        </w:tabs>
        <w:jc w:val="left"/>
        <w:rPr>
          <w:rFonts w:hint="eastAsia"/>
          <w:sz w:val="24"/>
          <w:szCs w:val="24"/>
        </w:rPr>
      </w:pPr>
      <w:r>
        <w:rPr>
          <w:rFonts w:hint="eastAsia"/>
          <w:sz w:val="24"/>
          <w:szCs w:val="24"/>
        </w:rPr>
        <w:t>沃克斯电梯配件价格：</w:t>
      </w:r>
    </w:p>
    <w:p>
      <w:pPr>
        <w:tabs>
          <w:tab w:val="left" w:pos="3474"/>
        </w:tabs>
        <w:jc w:val="left"/>
        <w:rPr>
          <w:rFonts w:hint="eastAsia"/>
        </w:rPr>
      </w:pPr>
    </w:p>
    <w:tbl>
      <w:tblPr>
        <w:tblStyle w:val="21"/>
        <w:tblW w:w="8264" w:type="dxa"/>
        <w:tblInd w:w="113" w:type="dxa"/>
        <w:tblLayout w:type="autofit"/>
        <w:tblCellMar>
          <w:top w:w="0" w:type="dxa"/>
          <w:left w:w="108" w:type="dxa"/>
          <w:bottom w:w="0" w:type="dxa"/>
          <w:right w:w="108" w:type="dxa"/>
        </w:tblCellMar>
      </w:tblPr>
      <w:tblGrid>
        <w:gridCol w:w="2579"/>
        <w:gridCol w:w="1321"/>
        <w:gridCol w:w="2007"/>
        <w:gridCol w:w="958"/>
        <w:gridCol w:w="1399"/>
      </w:tblGrid>
      <w:tr>
        <w:trPr>
          <w:trHeight w:val="901"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配件名称</w:t>
            </w:r>
          </w:p>
        </w:tc>
        <w:tc>
          <w:tcPr>
            <w:tcW w:w="13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品牌</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规格/型号</w:t>
            </w:r>
          </w:p>
        </w:tc>
        <w:tc>
          <w:tcPr>
            <w:tcW w:w="9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b/>
                <w:bCs/>
                <w:color w:val="000000"/>
                <w:kern w:val="0"/>
                <w:sz w:val="22"/>
                <w:szCs w:val="22"/>
              </w:rPr>
            </w:pPr>
            <w:r>
              <w:rPr>
                <w:rFonts w:hint="eastAsia" w:ascii="等线" w:hAnsi="等线" w:eastAsia="等线" w:cs="宋体"/>
                <w:b/>
                <w:bCs/>
                <w:color w:val="000000"/>
                <w:kern w:val="0"/>
                <w:sz w:val="22"/>
                <w:szCs w:val="22"/>
              </w:rPr>
              <w:t>单位</w:t>
            </w:r>
          </w:p>
        </w:tc>
        <w:tc>
          <w:tcPr>
            <w:tcW w:w="139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等线" w:hAnsi="等线" w:eastAsia="等线" w:cs="宋体"/>
                <w:b/>
                <w:bCs/>
                <w:color w:val="000000"/>
                <w:kern w:val="0"/>
                <w:sz w:val="22"/>
                <w:szCs w:val="22"/>
                <w:lang w:eastAsia="zh-CN"/>
              </w:rPr>
            </w:pPr>
            <w:r>
              <w:rPr>
                <w:rFonts w:hint="eastAsia" w:ascii="等线" w:hAnsi="等线" w:eastAsia="等线" w:cs="宋体"/>
                <w:b/>
                <w:bCs/>
                <w:color w:val="000000"/>
                <w:kern w:val="0"/>
                <w:sz w:val="22"/>
                <w:szCs w:val="22"/>
                <w:lang w:eastAsia="zh-CN"/>
              </w:rPr>
              <w:t>价格（元）</w:t>
            </w: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操纵箱信号控制板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03-D</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操纵箱通讯控制板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02/G</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操纵箱显示控制板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04-VRF</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门机变频器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申菱</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NSFC-01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称重装置控制仪</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VKS-S2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轿顶检修盒</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JXH-01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轿顶控制板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02/H</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补偿链导向装置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90*60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红外线光幕</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VKS-957-A</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缓冲器（1.75m/s）</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0H-210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同步主机制动器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MEKB</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同步主机磁钢体</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MGCC</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电梯检修控制盒</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JX-02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同步主机轴承组件</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日本NSK</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NSK-6311</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限速器（1.75）</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OX-240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涨紧装置及断绳开关</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奥德普</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OX-300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外招控制板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04-VRF</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变频器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VKS-S8</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变频器控制底板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VKS-S8D</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微机主控板</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VKS-F50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变频门电机</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太平</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MDJ-90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主机编码器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海德汉</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VKS-2048</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平层光电开关</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瑞电士</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CEDCS</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主机曳引轮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Y520*5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轿顶轮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J520*5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导向轮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D520*5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对重返绳轮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F520*5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厅门地坎</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60*1900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运行主接触器</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富士</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SC-N25</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轿厢液晶显示屏</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SM-04-UL</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电梯控制电源</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名纬</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VKS-S-120</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个</w:t>
            </w:r>
          </w:p>
        </w:tc>
        <w:tc>
          <w:tcPr>
            <w:tcW w:w="1399" w:type="dxa"/>
            <w:tcBorders>
              <w:top w:val="nil"/>
              <w:left w:val="nil"/>
              <w:bottom w:val="single" w:color="auto" w:sz="4" w:space="0"/>
              <w:right w:val="single" w:color="auto" w:sz="4" w:space="0"/>
            </w:tcBorders>
            <w:noWrap/>
            <w:vAlign w:val="bottom"/>
          </w:tcPr>
          <w:p>
            <w:pPr>
              <w:widowControl/>
              <w:jc w:val="right"/>
              <w:rPr>
                <w:rFonts w:hint="default" w:ascii="等线" w:hAnsi="等线" w:eastAsia="等线" w:cs="宋体"/>
                <w:color w:val="auto"/>
                <w:kern w:val="0"/>
                <w:sz w:val="22"/>
                <w:szCs w:val="22"/>
                <w:lang w:val="en-US" w:eastAsia="zh-CN"/>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应急平层装置电源（元/台.组）</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骆驼</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D-1209</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49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应急平层装置</w:t>
            </w:r>
          </w:p>
        </w:tc>
        <w:tc>
          <w:tcPr>
            <w:tcW w:w="1321"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劦通</w:t>
            </w:r>
          </w:p>
        </w:tc>
        <w:tc>
          <w:tcPr>
            <w:tcW w:w="2007"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ARD-22</w:t>
            </w:r>
          </w:p>
        </w:tc>
        <w:tc>
          <w:tcPr>
            <w:tcW w:w="958" w:type="dxa"/>
            <w:tcBorders>
              <w:top w:val="nil"/>
              <w:left w:val="nil"/>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rPr>
            </w:pPr>
          </w:p>
        </w:tc>
      </w:tr>
      <w:tr>
        <w:tblPrEx>
          <w:tblCellMar>
            <w:top w:w="0" w:type="dxa"/>
            <w:left w:w="108" w:type="dxa"/>
            <w:bottom w:w="0" w:type="dxa"/>
            <w:right w:w="108" w:type="dxa"/>
          </w:tblCellMar>
        </w:tblPrEx>
        <w:trPr>
          <w:trHeight w:val="571" w:hRule="atLeast"/>
        </w:trPr>
        <w:tc>
          <w:tcPr>
            <w:tcW w:w="2579" w:type="dxa"/>
            <w:tcBorders>
              <w:top w:val="nil"/>
              <w:left w:val="single" w:color="auto" w:sz="4" w:space="0"/>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随行电缆（40芯）</w:t>
            </w:r>
          </w:p>
        </w:tc>
        <w:tc>
          <w:tcPr>
            <w:tcW w:w="1321"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沃克斯</w:t>
            </w:r>
          </w:p>
        </w:tc>
        <w:tc>
          <w:tcPr>
            <w:tcW w:w="2007"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VOLKS-BP3-T</w:t>
            </w:r>
          </w:p>
        </w:tc>
        <w:tc>
          <w:tcPr>
            <w:tcW w:w="958"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根</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39" w:hRule="atLeast"/>
        </w:trPr>
        <w:tc>
          <w:tcPr>
            <w:tcW w:w="2579" w:type="dxa"/>
            <w:tcBorders>
              <w:top w:val="nil"/>
              <w:left w:val="single" w:color="auto" w:sz="4" w:space="0"/>
              <w:bottom w:val="single" w:color="auto" w:sz="4" w:space="0"/>
              <w:right w:val="single" w:color="auto" w:sz="4" w:space="0"/>
            </w:tcBorders>
            <w:noWrap w:val="0"/>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补偿链 （元/米）</w:t>
            </w:r>
          </w:p>
        </w:tc>
        <w:tc>
          <w:tcPr>
            <w:tcW w:w="1321" w:type="dxa"/>
            <w:tcBorders>
              <w:top w:val="nil"/>
              <w:left w:val="nil"/>
              <w:bottom w:val="single" w:color="auto" w:sz="4" w:space="0"/>
              <w:right w:val="single" w:color="auto" w:sz="4" w:space="0"/>
            </w:tcBorders>
            <w:noWrap/>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海宁</w:t>
            </w:r>
          </w:p>
        </w:tc>
        <w:tc>
          <w:tcPr>
            <w:tcW w:w="2007" w:type="dxa"/>
            <w:tcBorders>
              <w:top w:val="nil"/>
              <w:left w:val="nil"/>
              <w:bottom w:val="single" w:color="auto" w:sz="4" w:space="0"/>
              <w:right w:val="single" w:color="auto" w:sz="4" w:space="0"/>
            </w:tcBorders>
            <w:noWrap/>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WFQS150</w:t>
            </w:r>
          </w:p>
        </w:tc>
        <w:tc>
          <w:tcPr>
            <w:tcW w:w="958" w:type="dxa"/>
            <w:tcBorders>
              <w:top w:val="nil"/>
              <w:left w:val="nil"/>
              <w:bottom w:val="single" w:color="auto" w:sz="4" w:space="0"/>
              <w:right w:val="single" w:color="auto" w:sz="4" w:space="0"/>
            </w:tcBorders>
            <w:noWrap/>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val="en-US" w:eastAsia="zh-CN"/>
              </w:rPr>
            </w:pPr>
          </w:p>
        </w:tc>
      </w:tr>
      <w:tr>
        <w:tblPrEx>
          <w:tblCellMar>
            <w:top w:w="0" w:type="dxa"/>
            <w:left w:w="108" w:type="dxa"/>
            <w:bottom w:w="0" w:type="dxa"/>
            <w:right w:w="108" w:type="dxa"/>
          </w:tblCellMar>
        </w:tblPrEx>
        <w:trPr>
          <w:trHeight w:val="439" w:hRule="atLeast"/>
        </w:trPr>
        <w:tc>
          <w:tcPr>
            <w:tcW w:w="2579" w:type="dxa"/>
            <w:tcBorders>
              <w:top w:val="nil"/>
              <w:left w:val="single" w:color="auto" w:sz="4" w:space="0"/>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钢丝绳（元/米）</w:t>
            </w:r>
          </w:p>
        </w:tc>
        <w:tc>
          <w:tcPr>
            <w:tcW w:w="1321"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赛福天</w:t>
            </w:r>
          </w:p>
        </w:tc>
        <w:tc>
          <w:tcPr>
            <w:tcW w:w="2007"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10MM</w:t>
            </w:r>
          </w:p>
        </w:tc>
        <w:tc>
          <w:tcPr>
            <w:tcW w:w="958" w:type="dxa"/>
            <w:tcBorders>
              <w:top w:val="nil"/>
              <w:left w:val="nil"/>
              <w:bottom w:val="single" w:color="auto" w:sz="4" w:space="0"/>
              <w:right w:val="single" w:color="auto" w:sz="4" w:space="0"/>
            </w:tcBorders>
            <w:noWrap w:val="0"/>
            <w:vAlign w:val="bottom"/>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根</w:t>
            </w:r>
          </w:p>
        </w:tc>
        <w:tc>
          <w:tcPr>
            <w:tcW w:w="1399" w:type="dxa"/>
            <w:tcBorders>
              <w:top w:val="nil"/>
              <w:left w:val="nil"/>
              <w:bottom w:val="single" w:color="auto" w:sz="4" w:space="0"/>
              <w:right w:val="single" w:color="auto" w:sz="4" w:space="0"/>
            </w:tcBorders>
            <w:noWrap/>
            <w:vAlign w:val="bottom"/>
          </w:tcPr>
          <w:p>
            <w:pPr>
              <w:widowControl/>
              <w:jc w:val="right"/>
              <w:rPr>
                <w:rFonts w:hint="eastAsia" w:ascii="等线" w:hAnsi="等线" w:eastAsia="等线" w:cs="宋体"/>
                <w:color w:val="000000"/>
                <w:kern w:val="0"/>
                <w:sz w:val="22"/>
                <w:szCs w:val="22"/>
                <w:lang w:eastAsia="zh-CN"/>
              </w:rPr>
            </w:pPr>
          </w:p>
        </w:tc>
      </w:tr>
    </w:tbl>
    <w:p>
      <w:pPr>
        <w:tabs>
          <w:tab w:val="left" w:pos="3474"/>
        </w:tabs>
        <w:jc w:val="left"/>
        <w:rPr>
          <w:rFonts w:hint="eastAsia"/>
          <w:sz w:val="24"/>
          <w:szCs w:val="24"/>
        </w:rPr>
      </w:pPr>
    </w:p>
    <w:p>
      <w:pPr>
        <w:rPr>
          <w:rFonts w:hint="eastAsia"/>
          <w:sz w:val="24"/>
          <w:szCs w:val="24"/>
        </w:rPr>
      </w:pPr>
    </w:p>
    <w:p>
      <w:pPr>
        <w:rPr>
          <w:rFonts w:hint="eastAsia"/>
          <w:sz w:val="24"/>
          <w:szCs w:val="24"/>
        </w:rPr>
      </w:pPr>
    </w:p>
    <w:p>
      <w:pPr>
        <w:widowControl/>
        <w:jc w:val="left"/>
        <w:rPr>
          <w:rFonts w:hint="eastAsia" w:ascii="宋体" w:hAnsi="宋体" w:cs="宋体"/>
          <w:color w:val="000000"/>
          <w:kern w:val="0"/>
          <w:sz w:val="24"/>
        </w:rPr>
      </w:pPr>
    </w:p>
    <w:p>
      <w:pPr>
        <w:widowControl/>
        <w:spacing w:line="360" w:lineRule="auto"/>
        <w:jc w:val="left"/>
        <w:rPr>
          <w:rFonts w:hint="eastAsia" w:ascii="宋体" w:hAnsi="宋体" w:cs="宋体"/>
          <w:kern w:val="0"/>
          <w:sz w:val="24"/>
        </w:rPr>
      </w:pPr>
    </w:p>
    <w:p>
      <w:pPr>
        <w:rPr>
          <w:rFonts w:hint="eastAsia"/>
          <w:color w:val="auto"/>
          <w:sz w:val="24"/>
          <w:szCs w:val="24"/>
        </w:rPr>
      </w:pP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6</w:t>
                          </w:r>
                          <w:r>
                            <w:rPr>
                              <w:rFonts w:ascii="Times New Roman" w:hAnsi="Times New Roman" w:eastAsia="宋体"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6</w:t>
                    </w:r>
                    <w:r>
                      <w:rPr>
                        <w:rFonts w:ascii="Times New Roman" w:hAnsi="Times New Roman" w:eastAsia="宋体" w:cs="Times New Roman"/>
                        <w:sz w:val="18"/>
                        <w:szCs w:val="18"/>
                      </w:rPr>
                      <w:fldChar w:fldCharType="end"/>
                    </w:r>
                  </w:p>
                </w:txbxContent>
              </v:textbox>
            </v:shape>
          </w:pict>
        </mc:Fallback>
      </mc:AlternateContent>
    </w:r>
  </w:p>
  <w:p>
    <w:pPr>
      <w:snapToGrid w:val="0"/>
      <w:spacing w:line="360" w:lineRule="auto"/>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Hsk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IaHsktAgAAWQQAAA4AAAAAAAAAAQAgAAAAHwEAAGRycy9lMm9Eb2MueG1sUEsFBgAAAAAG&#10;AAYAWQEAAL4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2M2OTNhODk4MmRkNzg3NmYxYTFlZjA3N2IyMjUifQ=="/>
  </w:docVars>
  <w:rsids>
    <w:rsidRoot w:val="006A14D4"/>
    <w:rsid w:val="00024CC0"/>
    <w:rsid w:val="00041010"/>
    <w:rsid w:val="00100648"/>
    <w:rsid w:val="001558D0"/>
    <w:rsid w:val="001639DA"/>
    <w:rsid w:val="0019403C"/>
    <w:rsid w:val="001D5015"/>
    <w:rsid w:val="00253FBE"/>
    <w:rsid w:val="00416146"/>
    <w:rsid w:val="00507FE4"/>
    <w:rsid w:val="005938CC"/>
    <w:rsid w:val="005D152C"/>
    <w:rsid w:val="006340AE"/>
    <w:rsid w:val="006A14D4"/>
    <w:rsid w:val="006F3CE6"/>
    <w:rsid w:val="00714A9E"/>
    <w:rsid w:val="007B0847"/>
    <w:rsid w:val="008367DE"/>
    <w:rsid w:val="00892ACA"/>
    <w:rsid w:val="0089577C"/>
    <w:rsid w:val="00911186"/>
    <w:rsid w:val="00943A9A"/>
    <w:rsid w:val="00950C04"/>
    <w:rsid w:val="00974161"/>
    <w:rsid w:val="00984264"/>
    <w:rsid w:val="00984B9B"/>
    <w:rsid w:val="00995BF3"/>
    <w:rsid w:val="00A6750D"/>
    <w:rsid w:val="00A71939"/>
    <w:rsid w:val="00AC2A7B"/>
    <w:rsid w:val="00AD4C88"/>
    <w:rsid w:val="00AE7C49"/>
    <w:rsid w:val="00B012FD"/>
    <w:rsid w:val="00B3256C"/>
    <w:rsid w:val="00B35294"/>
    <w:rsid w:val="00B40ED6"/>
    <w:rsid w:val="00B52EA8"/>
    <w:rsid w:val="00C51AC4"/>
    <w:rsid w:val="00CA7B7C"/>
    <w:rsid w:val="00CF5500"/>
    <w:rsid w:val="00DA162E"/>
    <w:rsid w:val="00DB7225"/>
    <w:rsid w:val="00DC7C93"/>
    <w:rsid w:val="00E512E9"/>
    <w:rsid w:val="00E547A0"/>
    <w:rsid w:val="00E93E3D"/>
    <w:rsid w:val="00EC7ACE"/>
    <w:rsid w:val="00F3628D"/>
    <w:rsid w:val="00F47382"/>
    <w:rsid w:val="010A6538"/>
    <w:rsid w:val="010F7FF3"/>
    <w:rsid w:val="014A102B"/>
    <w:rsid w:val="01E46D89"/>
    <w:rsid w:val="02597FB5"/>
    <w:rsid w:val="02AB78A7"/>
    <w:rsid w:val="02EA2031"/>
    <w:rsid w:val="02EE59E6"/>
    <w:rsid w:val="03265180"/>
    <w:rsid w:val="036F4D79"/>
    <w:rsid w:val="03AF33C7"/>
    <w:rsid w:val="03BE185C"/>
    <w:rsid w:val="04846602"/>
    <w:rsid w:val="04D10ECB"/>
    <w:rsid w:val="05B80C59"/>
    <w:rsid w:val="06501780"/>
    <w:rsid w:val="07222C32"/>
    <w:rsid w:val="07A1571D"/>
    <w:rsid w:val="07D505B1"/>
    <w:rsid w:val="08C01272"/>
    <w:rsid w:val="08E84DAD"/>
    <w:rsid w:val="096D3D4B"/>
    <w:rsid w:val="0A1E5937"/>
    <w:rsid w:val="0A566A16"/>
    <w:rsid w:val="0A984BB5"/>
    <w:rsid w:val="0AF841B0"/>
    <w:rsid w:val="0B6428C5"/>
    <w:rsid w:val="0B8E420A"/>
    <w:rsid w:val="0BD75BB1"/>
    <w:rsid w:val="0E8F62CF"/>
    <w:rsid w:val="0EBF4080"/>
    <w:rsid w:val="0F6B0AEA"/>
    <w:rsid w:val="104024CE"/>
    <w:rsid w:val="106A6FF4"/>
    <w:rsid w:val="109E4EEF"/>
    <w:rsid w:val="10F52581"/>
    <w:rsid w:val="14447D80"/>
    <w:rsid w:val="15316332"/>
    <w:rsid w:val="15403BB8"/>
    <w:rsid w:val="156E30E2"/>
    <w:rsid w:val="15727A3F"/>
    <w:rsid w:val="15E87969"/>
    <w:rsid w:val="163360DA"/>
    <w:rsid w:val="165D1EF2"/>
    <w:rsid w:val="1666025D"/>
    <w:rsid w:val="16D30451"/>
    <w:rsid w:val="18C176C1"/>
    <w:rsid w:val="19101A10"/>
    <w:rsid w:val="1A591092"/>
    <w:rsid w:val="1AE74AB9"/>
    <w:rsid w:val="1AFA5418"/>
    <w:rsid w:val="1B261D69"/>
    <w:rsid w:val="1B334951"/>
    <w:rsid w:val="1C737230"/>
    <w:rsid w:val="1CF163A7"/>
    <w:rsid w:val="1E7F010E"/>
    <w:rsid w:val="206F5EDD"/>
    <w:rsid w:val="207500F4"/>
    <w:rsid w:val="20915ED7"/>
    <w:rsid w:val="21494A03"/>
    <w:rsid w:val="22034BB2"/>
    <w:rsid w:val="222F1E4B"/>
    <w:rsid w:val="23250B58"/>
    <w:rsid w:val="23655AE7"/>
    <w:rsid w:val="237F470C"/>
    <w:rsid w:val="23B8154C"/>
    <w:rsid w:val="23E6478B"/>
    <w:rsid w:val="24407777"/>
    <w:rsid w:val="2452597D"/>
    <w:rsid w:val="249B37C8"/>
    <w:rsid w:val="255A01BB"/>
    <w:rsid w:val="27786E27"/>
    <w:rsid w:val="277D71B5"/>
    <w:rsid w:val="27932534"/>
    <w:rsid w:val="28FE60D3"/>
    <w:rsid w:val="298E7457"/>
    <w:rsid w:val="29AA1DB7"/>
    <w:rsid w:val="29C81478"/>
    <w:rsid w:val="29E74DB9"/>
    <w:rsid w:val="2A07545B"/>
    <w:rsid w:val="2A353D77"/>
    <w:rsid w:val="2A697EC4"/>
    <w:rsid w:val="2A944F41"/>
    <w:rsid w:val="2AB77BA3"/>
    <w:rsid w:val="2AC645FA"/>
    <w:rsid w:val="2B2A31B0"/>
    <w:rsid w:val="2C3B5280"/>
    <w:rsid w:val="2C472EAE"/>
    <w:rsid w:val="2DB66F7C"/>
    <w:rsid w:val="2E637093"/>
    <w:rsid w:val="2E8928E3"/>
    <w:rsid w:val="2E997BF6"/>
    <w:rsid w:val="2E9A689E"/>
    <w:rsid w:val="2EB15996"/>
    <w:rsid w:val="300E2330"/>
    <w:rsid w:val="3034687E"/>
    <w:rsid w:val="305C23F3"/>
    <w:rsid w:val="321174D6"/>
    <w:rsid w:val="336D27D3"/>
    <w:rsid w:val="33A40DC1"/>
    <w:rsid w:val="33DC1707"/>
    <w:rsid w:val="34B306BA"/>
    <w:rsid w:val="34D4418C"/>
    <w:rsid w:val="357C4F4F"/>
    <w:rsid w:val="36065737"/>
    <w:rsid w:val="37152F66"/>
    <w:rsid w:val="37A75B88"/>
    <w:rsid w:val="382F0057"/>
    <w:rsid w:val="38905A01"/>
    <w:rsid w:val="38F366FF"/>
    <w:rsid w:val="39D52E80"/>
    <w:rsid w:val="3AB31E12"/>
    <w:rsid w:val="3AC56A51"/>
    <w:rsid w:val="3B0A4DAB"/>
    <w:rsid w:val="3B4C5401"/>
    <w:rsid w:val="3B825837"/>
    <w:rsid w:val="3B854432"/>
    <w:rsid w:val="3B9603ED"/>
    <w:rsid w:val="3B985F13"/>
    <w:rsid w:val="3BF07AFD"/>
    <w:rsid w:val="3C1611D0"/>
    <w:rsid w:val="3D356037"/>
    <w:rsid w:val="3E057A17"/>
    <w:rsid w:val="3EE6168C"/>
    <w:rsid w:val="3EF75647"/>
    <w:rsid w:val="405014B2"/>
    <w:rsid w:val="412C5A7C"/>
    <w:rsid w:val="424E2AAD"/>
    <w:rsid w:val="43EF0FE2"/>
    <w:rsid w:val="44980645"/>
    <w:rsid w:val="44B57B36"/>
    <w:rsid w:val="45C02C36"/>
    <w:rsid w:val="45D1274E"/>
    <w:rsid w:val="45D71D2E"/>
    <w:rsid w:val="46B73507"/>
    <w:rsid w:val="4754480A"/>
    <w:rsid w:val="47817907"/>
    <w:rsid w:val="4792496D"/>
    <w:rsid w:val="47F6080F"/>
    <w:rsid w:val="485035B9"/>
    <w:rsid w:val="492204FA"/>
    <w:rsid w:val="4A75577B"/>
    <w:rsid w:val="4B0B283C"/>
    <w:rsid w:val="4B0E1D4E"/>
    <w:rsid w:val="4BE8259F"/>
    <w:rsid w:val="4C122A2C"/>
    <w:rsid w:val="4CE94821"/>
    <w:rsid w:val="4DB36BDD"/>
    <w:rsid w:val="4DEB6377"/>
    <w:rsid w:val="51840FBC"/>
    <w:rsid w:val="51AB1D61"/>
    <w:rsid w:val="52E50F93"/>
    <w:rsid w:val="53211B74"/>
    <w:rsid w:val="535C474C"/>
    <w:rsid w:val="54E6057F"/>
    <w:rsid w:val="55357F85"/>
    <w:rsid w:val="555B64D8"/>
    <w:rsid w:val="55CC2F32"/>
    <w:rsid w:val="565D4368"/>
    <w:rsid w:val="567315FF"/>
    <w:rsid w:val="56FC15F5"/>
    <w:rsid w:val="57DF036B"/>
    <w:rsid w:val="57DF4BDD"/>
    <w:rsid w:val="57E30C41"/>
    <w:rsid w:val="57FF2E3F"/>
    <w:rsid w:val="58DB71EA"/>
    <w:rsid w:val="59C70E20"/>
    <w:rsid w:val="59D93E6F"/>
    <w:rsid w:val="59DE3233"/>
    <w:rsid w:val="5A7B1206"/>
    <w:rsid w:val="5BB73D3C"/>
    <w:rsid w:val="5BBE4E38"/>
    <w:rsid w:val="5C4750C0"/>
    <w:rsid w:val="5C645C72"/>
    <w:rsid w:val="5D7C523D"/>
    <w:rsid w:val="5D88009B"/>
    <w:rsid w:val="5E910FFC"/>
    <w:rsid w:val="5EFE3014"/>
    <w:rsid w:val="5F180EE5"/>
    <w:rsid w:val="5F630ECE"/>
    <w:rsid w:val="5FCA04E2"/>
    <w:rsid w:val="60C211B9"/>
    <w:rsid w:val="60F82E2D"/>
    <w:rsid w:val="622D4D58"/>
    <w:rsid w:val="62AB3BAC"/>
    <w:rsid w:val="62CA67A9"/>
    <w:rsid w:val="63071A4D"/>
    <w:rsid w:val="632C6236"/>
    <w:rsid w:val="640E45C0"/>
    <w:rsid w:val="64D8139F"/>
    <w:rsid w:val="656E190F"/>
    <w:rsid w:val="65A05841"/>
    <w:rsid w:val="66A870A3"/>
    <w:rsid w:val="66C70B33"/>
    <w:rsid w:val="672F3E09"/>
    <w:rsid w:val="674D3FD5"/>
    <w:rsid w:val="684C37A9"/>
    <w:rsid w:val="687B2EBE"/>
    <w:rsid w:val="68E51EE8"/>
    <w:rsid w:val="696F5C56"/>
    <w:rsid w:val="6A627569"/>
    <w:rsid w:val="6B4F5D3F"/>
    <w:rsid w:val="6B6132E4"/>
    <w:rsid w:val="6BB0623B"/>
    <w:rsid w:val="6BBB5DC3"/>
    <w:rsid w:val="6CF65855"/>
    <w:rsid w:val="6D090170"/>
    <w:rsid w:val="6D341690"/>
    <w:rsid w:val="6D401DE3"/>
    <w:rsid w:val="6E672517"/>
    <w:rsid w:val="6F3970C9"/>
    <w:rsid w:val="714B0D57"/>
    <w:rsid w:val="715E6CDC"/>
    <w:rsid w:val="71872296"/>
    <w:rsid w:val="71A861A9"/>
    <w:rsid w:val="71D347C7"/>
    <w:rsid w:val="726A2B3A"/>
    <w:rsid w:val="755A1EB0"/>
    <w:rsid w:val="755A6559"/>
    <w:rsid w:val="756C46A5"/>
    <w:rsid w:val="760D0CD1"/>
    <w:rsid w:val="772E7150"/>
    <w:rsid w:val="77901BB9"/>
    <w:rsid w:val="77A03606"/>
    <w:rsid w:val="77E85119"/>
    <w:rsid w:val="78140451"/>
    <w:rsid w:val="781C4A96"/>
    <w:rsid w:val="78362761"/>
    <w:rsid w:val="79240B36"/>
    <w:rsid w:val="794C38BE"/>
    <w:rsid w:val="794E6D9A"/>
    <w:rsid w:val="798968C0"/>
    <w:rsid w:val="79D0629D"/>
    <w:rsid w:val="79E61F64"/>
    <w:rsid w:val="79E9735F"/>
    <w:rsid w:val="79EB757B"/>
    <w:rsid w:val="7B9559F0"/>
    <w:rsid w:val="7BFC5A6F"/>
    <w:rsid w:val="7CF435F4"/>
    <w:rsid w:val="7E002EC9"/>
    <w:rsid w:val="7E4C079B"/>
    <w:rsid w:val="7E582D05"/>
    <w:rsid w:val="7EC74F3B"/>
    <w:rsid w:val="7FC8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qFormat="1" w:uiPriority="9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4"/>
    <w:autoRedefine/>
    <w:qFormat/>
    <w:uiPriority w:val="0"/>
    <w:pPr>
      <w:spacing w:before="100" w:beforeAutospacing="1" w:after="100" w:afterAutospacing="1" w:line="360" w:lineRule="auto"/>
      <w:jc w:val="left"/>
      <w:outlineLvl w:val="1"/>
    </w:pPr>
    <w:rPr>
      <w:rFonts w:ascii="宋体" w:hAnsi="宋体" w:eastAsia="宋体" w:cs="宋体"/>
      <w:b/>
      <w:bCs/>
      <w:sz w:val="30"/>
      <w:szCs w:val="32"/>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6">
    <w:name w:val="Body Text"/>
    <w:basedOn w:val="1"/>
    <w:next w:val="7"/>
    <w:autoRedefine/>
    <w:qFormat/>
    <w:uiPriority w:val="0"/>
    <w:pPr>
      <w:spacing w:line="360" w:lineRule="auto"/>
    </w:pPr>
    <w:rPr>
      <w:rFonts w:ascii="宋体" w:hAnsi="宋体" w:eastAsia="宋体" w:cs="Times New Roman"/>
      <w:b/>
      <w:sz w:val="24"/>
      <w:szCs w:val="20"/>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8">
    <w:name w:val="Body Text Indent"/>
    <w:basedOn w:val="1"/>
    <w:next w:val="9"/>
    <w:autoRedefine/>
    <w:qFormat/>
    <w:uiPriority w:val="0"/>
    <w:pPr>
      <w:ind w:firstLine="630"/>
    </w:pPr>
    <w:rPr>
      <w:sz w:val="32"/>
      <w:szCs w:val="20"/>
    </w:rPr>
  </w:style>
  <w:style w:type="paragraph" w:customStyle="1" w:styleId="9">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10">
    <w:name w:val="List 2"/>
    <w:basedOn w:val="1"/>
    <w:autoRedefine/>
    <w:qFormat/>
    <w:uiPriority w:val="0"/>
    <w:pPr>
      <w:ind w:left="100" w:leftChars="200" w:hanging="200" w:hangingChars="200"/>
    </w:pPr>
  </w:style>
  <w:style w:type="paragraph" w:styleId="11">
    <w:name w:val="toc 5"/>
    <w:basedOn w:val="1"/>
    <w:next w:val="1"/>
    <w:autoRedefine/>
    <w:unhideWhenUsed/>
    <w:qFormat/>
    <w:uiPriority w:val="99"/>
    <w:pPr>
      <w:ind w:left="1680" w:leftChars="800"/>
    </w:pPr>
    <w:rPr>
      <w:rFonts w:ascii="Calibri" w:hAnsi="Calibri" w:eastAsia="宋体" w:cs="Times New Roman"/>
    </w:rPr>
  </w:style>
  <w:style w:type="paragraph" w:styleId="12">
    <w:name w:val="Plain Text"/>
    <w:basedOn w:val="1"/>
    <w:autoRedefine/>
    <w:qFormat/>
    <w:uiPriority w:val="0"/>
    <w:rPr>
      <w:rFonts w:ascii="宋体" w:hAnsi="Courier New" w:cs="Times New Roman"/>
    </w:rPr>
  </w:style>
  <w:style w:type="paragraph" w:styleId="13">
    <w:name w:val="Body Text Indent 2"/>
    <w:basedOn w:val="1"/>
    <w:next w:val="1"/>
    <w:autoRedefine/>
    <w:qFormat/>
    <w:uiPriority w:val="0"/>
    <w:pPr>
      <w:spacing w:after="120" w:line="480" w:lineRule="auto"/>
      <w:ind w:left="420" w:leftChars="200"/>
    </w:pPr>
  </w:style>
  <w:style w:type="paragraph" w:styleId="14">
    <w:name w:val="footer"/>
    <w:basedOn w:val="1"/>
    <w:link w:val="28"/>
    <w:autoRedefine/>
    <w:unhideWhenUsed/>
    <w:qFormat/>
    <w:uiPriority w:val="99"/>
    <w:pPr>
      <w:tabs>
        <w:tab w:val="center" w:pos="4153"/>
        <w:tab w:val="right" w:pos="8306"/>
      </w:tabs>
      <w:snapToGrid w:val="0"/>
      <w:jc w:val="left"/>
    </w:pPr>
    <w:rPr>
      <w:sz w:val="18"/>
      <w:szCs w:val="18"/>
    </w:rPr>
  </w:style>
  <w:style w:type="paragraph" w:styleId="15">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next w:val="1"/>
    <w:autoRedefine/>
    <w:semiHidden/>
    <w:qFormat/>
    <w:uiPriority w:val="99"/>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17">
    <w:name w:val="Normal (Web)"/>
    <w:basedOn w:val="1"/>
    <w:autoRedefine/>
    <w:unhideWhenUsed/>
    <w:qFormat/>
    <w:uiPriority w:val="99"/>
    <w:pPr>
      <w:widowControl/>
      <w:jc w:val="left"/>
    </w:pPr>
    <w:rPr>
      <w:rFonts w:ascii="宋体" w:hAnsi="宋体" w:cs="宋体"/>
      <w:kern w:val="0"/>
      <w:sz w:val="24"/>
      <w:szCs w:val="24"/>
    </w:rPr>
  </w:style>
  <w:style w:type="paragraph" w:styleId="18">
    <w:name w:val="Body Text First Indent"/>
    <w:basedOn w:val="6"/>
    <w:next w:val="19"/>
    <w:autoRedefine/>
    <w:unhideWhenUsed/>
    <w:qFormat/>
    <w:uiPriority w:val="99"/>
    <w:pPr>
      <w:ind w:firstLine="420" w:firstLineChars="100"/>
    </w:pPr>
  </w:style>
  <w:style w:type="paragraph" w:customStyle="1" w:styleId="19">
    <w:name w:val="段落正文"/>
    <w:basedOn w:val="1"/>
    <w:autoRedefine/>
    <w:qFormat/>
    <w:uiPriority w:val="0"/>
    <w:pPr>
      <w:spacing w:before="50" w:beforeLines="50" w:line="360" w:lineRule="auto"/>
      <w:ind w:firstLine="200" w:firstLineChars="200"/>
    </w:pPr>
    <w:rPr>
      <w:rFonts w:ascii="Times New Roman" w:hAnsi="Times New Roman"/>
      <w:spacing w:val="2"/>
      <w:sz w:val="24"/>
      <w:szCs w:val="20"/>
    </w:rPr>
  </w:style>
  <w:style w:type="paragraph" w:styleId="20">
    <w:name w:val="Body Text First Indent 2"/>
    <w:basedOn w:val="8"/>
    <w:autoRedefine/>
    <w:qFormat/>
    <w:uiPriority w:val="0"/>
    <w:pPr>
      <w:spacing w:after="120"/>
      <w:ind w:left="420" w:leftChars="200" w:firstLine="420" w:firstLineChars="200"/>
    </w:pPr>
    <w:rPr>
      <w:rFonts w:ascii="Times New Roman" w:hAnsi="Times New Roman"/>
      <w:sz w:val="21"/>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autoRedefine/>
    <w:qFormat/>
    <w:uiPriority w:val="22"/>
    <w:rPr>
      <w:b/>
      <w:bCs/>
    </w:rPr>
  </w:style>
  <w:style w:type="character" w:styleId="25">
    <w:name w:val="page number"/>
    <w:autoRedefine/>
    <w:qFormat/>
    <w:uiPriority w:val="0"/>
  </w:style>
  <w:style w:type="character" w:styleId="26">
    <w:name w:val="Hyperlink"/>
    <w:basedOn w:val="23"/>
    <w:autoRedefine/>
    <w:unhideWhenUsed/>
    <w:qFormat/>
    <w:uiPriority w:val="99"/>
    <w:rPr>
      <w:color w:val="0000FF" w:themeColor="hyperlink"/>
      <w:u w:val="single"/>
      <w14:textFill>
        <w14:solidFill>
          <w14:schemeClr w14:val="hlink"/>
        </w14:solidFill>
      </w14:textFill>
    </w:rPr>
  </w:style>
  <w:style w:type="character" w:customStyle="1" w:styleId="27">
    <w:name w:val="页眉 Char"/>
    <w:basedOn w:val="23"/>
    <w:link w:val="15"/>
    <w:autoRedefine/>
    <w:qFormat/>
    <w:uiPriority w:val="99"/>
    <w:rPr>
      <w:sz w:val="18"/>
      <w:szCs w:val="18"/>
    </w:rPr>
  </w:style>
  <w:style w:type="character" w:customStyle="1" w:styleId="28">
    <w:name w:val="页脚 Char"/>
    <w:basedOn w:val="23"/>
    <w:link w:val="14"/>
    <w:autoRedefine/>
    <w:qFormat/>
    <w:uiPriority w:val="99"/>
    <w:rPr>
      <w:sz w:val="18"/>
      <w:szCs w:val="18"/>
    </w:rPr>
  </w:style>
  <w:style w:type="paragraph" w:customStyle="1" w:styleId="29">
    <w:name w:val="正文缩进2格"/>
    <w:basedOn w:val="1"/>
    <w:autoRedefine/>
    <w:qFormat/>
    <w:uiPriority w:val="0"/>
    <w:pPr>
      <w:spacing w:line="600" w:lineRule="exact"/>
      <w:ind w:firstLine="639" w:firstLineChars="206"/>
    </w:pPr>
    <w:rPr>
      <w:rFonts w:ascii="仿宋_GB2312" w:hAnsi="宋体" w:eastAsia="仿宋_GB2312"/>
      <w:sz w:val="31"/>
      <w:szCs w:val="20"/>
    </w:rPr>
  </w:style>
  <w:style w:type="paragraph" w:customStyle="1" w:styleId="30">
    <w:name w:val="正文首行缩进两字符"/>
    <w:basedOn w:val="1"/>
    <w:autoRedefine/>
    <w:qFormat/>
    <w:uiPriority w:val="0"/>
    <w:pPr>
      <w:spacing w:line="360" w:lineRule="auto"/>
      <w:ind w:firstLine="200" w:firstLineChars="200"/>
    </w:pPr>
  </w:style>
  <w:style w:type="table" w:customStyle="1" w:styleId="31">
    <w:name w:val="Table Normal"/>
    <w:autoRedefine/>
    <w:unhideWhenUsed/>
    <w:qFormat/>
    <w:uiPriority w:val="0"/>
    <w:tblPr>
      <w:tblCellMar>
        <w:top w:w="0" w:type="dxa"/>
        <w:left w:w="0" w:type="dxa"/>
        <w:bottom w:w="0" w:type="dxa"/>
        <w:right w:w="0" w:type="dxa"/>
      </w:tblCellMar>
    </w:tblPr>
  </w:style>
  <w:style w:type="paragraph" w:customStyle="1" w:styleId="32">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33">
    <w:name w:val="null3"/>
    <w:autoRedefine/>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Tuan</Company>
  <Pages>1</Pages>
  <Words>963</Words>
  <Characters>5495</Characters>
  <Lines>45</Lines>
  <Paragraphs>12</Paragraphs>
  <TotalTime>2</TotalTime>
  <ScaleCrop>false</ScaleCrop>
  <LinksUpToDate>false</LinksUpToDate>
  <CharactersWithSpaces>6446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2023-12-18T08:23:00Z</dcterms:created>
  <dc:creator>Tuan</dc:creator>
  <cp:lastModifiedBy>Administrator</cp:lastModifiedBy>
  <dcterms:modified xsi:type="dcterms:W3CDTF">2024-03-14T09:02:13Z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F0B05BF2C2C34C8596B35773336CDCF7_12</vt:lpwstr>
  </property>
</Properties>
</file>