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E4BA4">
      <w:pPr>
        <w:spacing w:line="360" w:lineRule="auto"/>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附件2</w:t>
      </w:r>
      <w:bookmarkStart w:id="0" w:name="_GoBack"/>
      <w:bookmarkEnd w:id="0"/>
    </w:p>
    <w:p w14:paraId="27ACD3C6">
      <w:pPr>
        <w:spacing w:line="360" w:lineRule="auto"/>
        <w:ind w:firstLine="1687" w:firstLineChars="600"/>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项目服务报价和服务总价计算构成</w:t>
      </w:r>
    </w:p>
    <w:p w14:paraId="59BC21F1">
      <w:pPr>
        <w:spacing w:line="360" w:lineRule="auto"/>
        <w:ind w:firstLine="420" w:firstLineChars="15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一1、保洁、中央运输、护工和电梯工、水电工等服务费的计算方式：</w:t>
      </w:r>
    </w:p>
    <w:p w14:paraId="6F66EE3C">
      <w:pPr>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（1）按人员配置数量以“包干人工费”方式计算，其“包干人工费”由四个部分组成：</w:t>
      </w:r>
    </w:p>
    <w:p w14:paraId="4B7AE0BB">
      <w:pPr>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（1-1）第一部分是指人员工资、奖金、福利、社会保险、加班费、服装费、节假日费、特殊岗位补贴费等。</w:t>
      </w:r>
    </w:p>
    <w:p w14:paraId="1812335C">
      <w:pPr>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（1-2）第二部分是指PVC地板革的打蜡与养护（总面积约2.5万㎡,一年两次），其中包含了人工费、设备设施购置费、使用费、维修费和各类耗材费等全部费用。</w:t>
      </w:r>
    </w:p>
    <w:p w14:paraId="446493B3">
      <w:pPr>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（1-3）第三部分是指清洁设备设施购置费、使用费和维修费、各类清洁工具及各类耗材等，除垃圾桶以外的全部费用，医院不再另行支付其他费用。</w:t>
      </w:r>
    </w:p>
    <w:p w14:paraId="6C193095">
      <w:pPr>
        <w:tabs>
          <w:tab w:val="left" w:pos="7665"/>
        </w:tabs>
        <w:spacing w:line="360" w:lineRule="auto"/>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（1-4）管理费、税费。</w:t>
      </w:r>
    </w:p>
    <w:p w14:paraId="149D6F65">
      <w:pPr>
        <w:spacing w:line="360" w:lineRule="auto"/>
        <w:ind w:firstLine="559" w:firstLineChars="199"/>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二、服务人员配置及报价表</w:t>
      </w:r>
    </w:p>
    <w:p w14:paraId="26C8DA50">
      <w:pPr>
        <w:spacing w:line="360" w:lineRule="auto"/>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须设置项目经理、相关项目主管及班组长，全面负责绵阳市中医医院委托的保洁、中央运输、护工、电工、电梯服务项目的管理及服务工作，合理分配和安排好各部门的服务内容及工作范围，协调好医院各科室的关系，完成好医院交办的其他临时性任务。</w:t>
      </w:r>
    </w:p>
    <w:p w14:paraId="254451D1">
      <w:pPr>
        <w:spacing w:line="360" w:lineRule="auto"/>
        <w:ind w:firstLine="560" w:firstLineChars="20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2、人员配置要根据医院服务内容、服务要求，工种类别和各区域工作量的有效评估和人员整合来合理设置岗位和人员数量。</w:t>
      </w:r>
    </w:p>
    <w:p w14:paraId="33DB06E6">
      <w:pPr>
        <w:spacing w:line="360" w:lineRule="auto"/>
        <w:ind w:firstLine="420" w:firstLineChars="15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3、人员、设备配置情况及报价表</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gridCol w:w="1977"/>
        <w:gridCol w:w="849"/>
        <w:gridCol w:w="1554"/>
        <w:gridCol w:w="1696"/>
        <w:gridCol w:w="1597"/>
      </w:tblGrid>
      <w:tr w14:paraId="26E39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498" w:type="pct"/>
            <w:tcBorders>
              <w:top w:val="single" w:color="auto" w:sz="4" w:space="0"/>
              <w:left w:val="single" w:color="auto" w:sz="4" w:space="0"/>
              <w:bottom w:val="single" w:color="auto" w:sz="4" w:space="0"/>
              <w:right w:val="single" w:color="auto" w:sz="4" w:space="0"/>
            </w:tcBorders>
            <w:vAlign w:val="center"/>
          </w:tcPr>
          <w:p w14:paraId="53B3CDF2">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序号</w:t>
            </w:r>
          </w:p>
        </w:tc>
        <w:tc>
          <w:tcPr>
            <w:tcW w:w="1160" w:type="pct"/>
            <w:tcBorders>
              <w:top w:val="single" w:color="auto" w:sz="4" w:space="0"/>
              <w:left w:val="nil"/>
              <w:bottom w:val="single" w:color="auto" w:sz="4" w:space="0"/>
              <w:right w:val="single" w:color="auto" w:sz="4" w:space="0"/>
            </w:tcBorders>
            <w:vAlign w:val="center"/>
          </w:tcPr>
          <w:p w14:paraId="5ADF6D89">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人员工种名称</w:t>
            </w:r>
          </w:p>
        </w:tc>
        <w:tc>
          <w:tcPr>
            <w:tcW w:w="498" w:type="pct"/>
            <w:tcBorders>
              <w:top w:val="single" w:color="auto" w:sz="4" w:space="0"/>
              <w:left w:val="nil"/>
              <w:bottom w:val="single" w:color="auto" w:sz="4" w:space="0"/>
              <w:right w:val="single" w:color="auto" w:sz="4" w:space="0"/>
            </w:tcBorders>
            <w:vAlign w:val="center"/>
          </w:tcPr>
          <w:p w14:paraId="1BD69B6B">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人数</w:t>
            </w:r>
          </w:p>
        </w:tc>
        <w:tc>
          <w:tcPr>
            <w:tcW w:w="912" w:type="pct"/>
            <w:tcBorders>
              <w:top w:val="single" w:color="auto" w:sz="4" w:space="0"/>
              <w:left w:val="nil"/>
              <w:bottom w:val="single" w:color="auto" w:sz="4" w:space="0"/>
              <w:right w:val="single" w:color="auto" w:sz="4" w:space="0"/>
            </w:tcBorders>
            <w:vAlign w:val="center"/>
          </w:tcPr>
          <w:p w14:paraId="693001AE">
            <w:pPr>
              <w:spacing w:line="320" w:lineRule="exact"/>
              <w:rPr>
                <w:rFonts w:asciiTheme="majorEastAsia" w:hAnsiTheme="majorEastAsia"/>
                <w:color w:val="000000" w:themeColor="text1"/>
                <w:spacing w:val="-20"/>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“人工费”每人每月：元/月</w:t>
            </w:r>
          </w:p>
        </w:tc>
        <w:tc>
          <w:tcPr>
            <w:tcW w:w="995" w:type="pct"/>
            <w:tcBorders>
              <w:top w:val="single" w:color="auto" w:sz="4" w:space="0"/>
              <w:left w:val="nil"/>
              <w:bottom w:val="single" w:color="auto" w:sz="4" w:space="0"/>
              <w:right w:val="single" w:color="auto" w:sz="4" w:space="0"/>
            </w:tcBorders>
            <w:vAlign w:val="center"/>
          </w:tcPr>
          <w:p w14:paraId="099EBEBF">
            <w:pP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pacing w:val="-20"/>
                <w:sz w:val="28"/>
                <w:szCs w:val="28"/>
                <w14:textFill>
                  <w14:solidFill>
                    <w14:schemeClr w14:val="tx1"/>
                  </w14:solidFill>
                </w14:textFill>
              </w:rPr>
              <w:t>年合计费用(万元)</w:t>
            </w:r>
          </w:p>
        </w:tc>
        <w:tc>
          <w:tcPr>
            <w:tcW w:w="937" w:type="pct"/>
            <w:tcBorders>
              <w:top w:val="single" w:color="auto" w:sz="4" w:space="0"/>
              <w:left w:val="nil"/>
              <w:bottom w:val="single" w:color="auto" w:sz="4" w:space="0"/>
              <w:right w:val="single" w:color="auto" w:sz="4" w:space="0"/>
            </w:tcBorders>
            <w:vAlign w:val="center"/>
          </w:tcPr>
          <w:p w14:paraId="55764B0B">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备注</w:t>
            </w:r>
          </w:p>
        </w:tc>
      </w:tr>
      <w:tr w14:paraId="075D5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restart"/>
            <w:tcBorders>
              <w:top w:val="nil"/>
              <w:left w:val="single" w:color="auto" w:sz="4" w:space="0"/>
              <w:bottom w:val="single" w:color="auto" w:sz="4" w:space="0"/>
              <w:right w:val="single" w:color="auto" w:sz="4" w:space="0"/>
            </w:tcBorders>
            <w:vAlign w:val="center"/>
          </w:tcPr>
          <w:p w14:paraId="54A024D0">
            <w:pPr>
              <w:widowControl/>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1</w:t>
            </w:r>
          </w:p>
        </w:tc>
        <w:tc>
          <w:tcPr>
            <w:tcW w:w="1160" w:type="pct"/>
            <w:tcBorders>
              <w:top w:val="single" w:color="auto" w:sz="4" w:space="0"/>
              <w:left w:val="nil"/>
              <w:bottom w:val="single" w:color="auto" w:sz="4" w:space="0"/>
              <w:right w:val="single" w:color="auto" w:sz="4" w:space="0"/>
            </w:tcBorders>
            <w:vAlign w:val="center"/>
          </w:tcPr>
          <w:p w14:paraId="407319D0">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清洁工</w:t>
            </w:r>
          </w:p>
        </w:tc>
        <w:tc>
          <w:tcPr>
            <w:tcW w:w="498" w:type="pct"/>
            <w:tcBorders>
              <w:top w:val="single" w:color="auto" w:sz="4" w:space="0"/>
              <w:left w:val="nil"/>
              <w:bottom w:val="single" w:color="auto" w:sz="4" w:space="0"/>
              <w:right w:val="single" w:color="auto" w:sz="4" w:space="0"/>
            </w:tcBorders>
            <w:vAlign w:val="center"/>
          </w:tcPr>
          <w:p w14:paraId="08E417E4">
            <w:pPr>
              <w:spacing w:line="320" w:lineRule="exact"/>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06989EE2">
            <w:pPr>
              <w:spacing w:line="320" w:lineRule="exact"/>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604CAA2A">
            <w:pPr>
              <w:widowControl/>
              <w:rPr>
                <w:rFonts w:asciiTheme="majorEastAsia" w:hAnsiTheme="majorEastAsia"/>
                <w:color w:val="000000" w:themeColor="text1"/>
                <w:spacing w:val="-20"/>
                <w:kern w:val="2"/>
                <w:sz w:val="28"/>
                <w:szCs w:val="28"/>
                <w14:textFill>
                  <w14:solidFill>
                    <w14:schemeClr w14:val="tx1"/>
                  </w14:solidFill>
                </w14:textFill>
              </w:rPr>
            </w:pPr>
          </w:p>
        </w:tc>
        <w:tc>
          <w:tcPr>
            <w:tcW w:w="937" w:type="pct"/>
            <w:vMerge w:val="restart"/>
            <w:tcBorders>
              <w:top w:val="nil"/>
              <w:left w:val="nil"/>
              <w:bottom w:val="single" w:color="auto" w:sz="4" w:space="0"/>
              <w:right w:val="single" w:color="auto" w:sz="4" w:space="0"/>
            </w:tcBorders>
            <w:vAlign w:val="center"/>
          </w:tcPr>
          <w:p w14:paraId="68643F42">
            <w:pPr>
              <w:spacing w:line="320" w:lineRule="exact"/>
              <w:rPr>
                <w:rFonts w:asciiTheme="majorEastAsia" w:hAnsiTheme="majorEastAsia"/>
                <w:color w:val="000000" w:themeColor="text1"/>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具体需投标人另提供“拟定人员岗位配置、服务内容详细表”。</w:t>
            </w:r>
          </w:p>
        </w:tc>
      </w:tr>
      <w:tr w14:paraId="1320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3A712761">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36D12271">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护  工</w:t>
            </w:r>
          </w:p>
        </w:tc>
        <w:tc>
          <w:tcPr>
            <w:tcW w:w="498" w:type="pct"/>
            <w:tcBorders>
              <w:top w:val="single" w:color="auto" w:sz="4" w:space="0"/>
              <w:left w:val="nil"/>
              <w:bottom w:val="single" w:color="auto" w:sz="4" w:space="0"/>
              <w:right w:val="single" w:color="auto" w:sz="4" w:space="0"/>
            </w:tcBorders>
            <w:vAlign w:val="center"/>
          </w:tcPr>
          <w:p w14:paraId="403F4716">
            <w:pPr>
              <w:spacing w:line="320" w:lineRule="exact"/>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0E8901A4">
            <w:pPr>
              <w:spacing w:line="320" w:lineRule="exact"/>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3E713767">
            <w:pPr>
              <w:widowControl/>
              <w:rPr>
                <w:rFonts w:asciiTheme="majorEastAsia" w:hAnsiTheme="majorEastAsia"/>
                <w:color w:val="000000" w:themeColor="text1"/>
                <w:spacing w:val="-20"/>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781E12DD">
            <w:pPr>
              <w:widowControl/>
              <w:rPr>
                <w:rFonts w:asciiTheme="majorEastAsia" w:hAnsiTheme="majorEastAsia"/>
                <w:color w:val="000000" w:themeColor="text1"/>
                <w:sz w:val="28"/>
                <w:szCs w:val="28"/>
                <w14:textFill>
                  <w14:solidFill>
                    <w14:schemeClr w14:val="tx1"/>
                  </w14:solidFill>
                </w14:textFill>
              </w:rPr>
            </w:pPr>
          </w:p>
        </w:tc>
      </w:tr>
      <w:tr w14:paraId="06DC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1F5134C9">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0FB2B623">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中央运输工</w:t>
            </w:r>
          </w:p>
        </w:tc>
        <w:tc>
          <w:tcPr>
            <w:tcW w:w="498" w:type="pct"/>
            <w:tcBorders>
              <w:top w:val="single" w:color="auto" w:sz="4" w:space="0"/>
              <w:left w:val="nil"/>
              <w:bottom w:val="single" w:color="auto" w:sz="4" w:space="0"/>
              <w:right w:val="single" w:color="auto" w:sz="4" w:space="0"/>
            </w:tcBorders>
            <w:vAlign w:val="center"/>
          </w:tcPr>
          <w:p w14:paraId="75304E3A">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4C47F5B7">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3E2AEF89">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39DD22F9">
            <w:pPr>
              <w:widowControl/>
              <w:rPr>
                <w:rFonts w:asciiTheme="majorEastAsia" w:hAnsiTheme="majorEastAsia"/>
                <w:color w:val="000000" w:themeColor="text1"/>
                <w:sz w:val="28"/>
                <w:szCs w:val="28"/>
                <w14:textFill>
                  <w14:solidFill>
                    <w14:schemeClr w14:val="tx1"/>
                  </w14:solidFill>
                </w14:textFill>
              </w:rPr>
            </w:pPr>
          </w:p>
        </w:tc>
      </w:tr>
      <w:tr w14:paraId="06052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08D65239">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08F2F33B">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电梯工</w:t>
            </w:r>
          </w:p>
        </w:tc>
        <w:tc>
          <w:tcPr>
            <w:tcW w:w="498" w:type="pct"/>
            <w:tcBorders>
              <w:top w:val="single" w:color="auto" w:sz="4" w:space="0"/>
              <w:left w:val="nil"/>
              <w:bottom w:val="single" w:color="auto" w:sz="4" w:space="0"/>
              <w:right w:val="single" w:color="auto" w:sz="4" w:space="0"/>
            </w:tcBorders>
            <w:vAlign w:val="center"/>
          </w:tcPr>
          <w:p w14:paraId="09F42A65">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35965006">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2FDD8D02">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0E26E9CC">
            <w:pPr>
              <w:widowControl/>
              <w:rPr>
                <w:rFonts w:asciiTheme="majorEastAsia" w:hAnsiTheme="majorEastAsia"/>
                <w:color w:val="000000" w:themeColor="text1"/>
                <w:sz w:val="28"/>
                <w:szCs w:val="28"/>
                <w14:textFill>
                  <w14:solidFill>
                    <w14:schemeClr w14:val="tx1"/>
                  </w14:solidFill>
                </w14:textFill>
              </w:rPr>
            </w:pPr>
          </w:p>
        </w:tc>
      </w:tr>
      <w:tr w14:paraId="6A261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4AA93970">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3475571F">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专项组</w:t>
            </w:r>
          </w:p>
        </w:tc>
        <w:tc>
          <w:tcPr>
            <w:tcW w:w="498" w:type="pct"/>
            <w:tcBorders>
              <w:top w:val="single" w:color="auto" w:sz="4" w:space="0"/>
              <w:left w:val="nil"/>
              <w:bottom w:val="single" w:color="auto" w:sz="4" w:space="0"/>
              <w:right w:val="single" w:color="auto" w:sz="4" w:space="0"/>
            </w:tcBorders>
            <w:vAlign w:val="center"/>
          </w:tcPr>
          <w:p w14:paraId="34DC259A">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1A2F26FB">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71E91938">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45F7904F">
            <w:pPr>
              <w:widowControl/>
              <w:rPr>
                <w:rFonts w:asciiTheme="majorEastAsia" w:hAnsiTheme="majorEastAsia"/>
                <w:color w:val="000000" w:themeColor="text1"/>
                <w:sz w:val="28"/>
                <w:szCs w:val="28"/>
                <w14:textFill>
                  <w14:solidFill>
                    <w14:schemeClr w14:val="tx1"/>
                  </w14:solidFill>
                </w14:textFill>
              </w:rPr>
            </w:pPr>
          </w:p>
        </w:tc>
      </w:tr>
      <w:tr w14:paraId="04BC0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2758495D">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08A2C0CF">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水电工</w:t>
            </w:r>
          </w:p>
        </w:tc>
        <w:tc>
          <w:tcPr>
            <w:tcW w:w="498" w:type="pct"/>
            <w:tcBorders>
              <w:top w:val="single" w:color="auto" w:sz="4" w:space="0"/>
              <w:left w:val="nil"/>
              <w:bottom w:val="single" w:color="auto" w:sz="4" w:space="0"/>
              <w:right w:val="single" w:color="auto" w:sz="4" w:space="0"/>
            </w:tcBorders>
            <w:vAlign w:val="center"/>
          </w:tcPr>
          <w:p w14:paraId="09A5FDEF">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206D7C92">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2D09B841">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11A35324">
            <w:pPr>
              <w:widowControl/>
              <w:rPr>
                <w:rFonts w:asciiTheme="majorEastAsia" w:hAnsiTheme="majorEastAsia"/>
                <w:color w:val="000000" w:themeColor="text1"/>
                <w:sz w:val="28"/>
                <w:szCs w:val="28"/>
                <w14:textFill>
                  <w14:solidFill>
                    <w14:schemeClr w14:val="tx1"/>
                  </w14:solidFill>
                </w14:textFill>
              </w:rPr>
            </w:pPr>
          </w:p>
        </w:tc>
      </w:tr>
      <w:tr w14:paraId="6F48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2272D68D">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2565BC4B">
            <w:pPr>
              <w:spacing w:line="320" w:lineRule="exact"/>
              <w:rPr>
                <w:rFonts w:asciiTheme="majorEastAsia" w:hAnsiTheme="majorEastAsia"/>
                <w:color w:val="000000" w:themeColor="text1"/>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煎药工</w:t>
            </w:r>
          </w:p>
        </w:tc>
        <w:tc>
          <w:tcPr>
            <w:tcW w:w="498" w:type="pct"/>
            <w:tcBorders>
              <w:top w:val="single" w:color="auto" w:sz="4" w:space="0"/>
              <w:left w:val="nil"/>
              <w:bottom w:val="single" w:color="auto" w:sz="4" w:space="0"/>
              <w:right w:val="single" w:color="auto" w:sz="4" w:space="0"/>
            </w:tcBorders>
            <w:vAlign w:val="center"/>
          </w:tcPr>
          <w:p w14:paraId="11D86713">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27E8F87A">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1CA773AE">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6DEDF96A">
            <w:pPr>
              <w:widowControl/>
              <w:rPr>
                <w:rFonts w:asciiTheme="majorEastAsia" w:hAnsiTheme="majorEastAsia"/>
                <w:color w:val="000000" w:themeColor="text1"/>
                <w:sz w:val="28"/>
                <w:szCs w:val="28"/>
                <w14:textFill>
                  <w14:solidFill>
                    <w14:schemeClr w14:val="tx1"/>
                  </w14:solidFill>
                </w14:textFill>
              </w:rPr>
            </w:pPr>
          </w:p>
        </w:tc>
      </w:tr>
      <w:tr w14:paraId="2462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498" w:type="pct"/>
            <w:vMerge w:val="continue"/>
            <w:tcBorders>
              <w:top w:val="nil"/>
              <w:left w:val="single" w:color="auto" w:sz="4" w:space="0"/>
              <w:bottom w:val="single" w:color="auto" w:sz="4" w:space="0"/>
              <w:right w:val="single" w:color="auto" w:sz="4" w:space="0"/>
            </w:tcBorders>
            <w:vAlign w:val="center"/>
          </w:tcPr>
          <w:p w14:paraId="0EFB7067">
            <w:pPr>
              <w:widowControl/>
              <w:jc w:val="center"/>
              <w:rPr>
                <w:rFonts w:asciiTheme="majorEastAsia" w:hAnsiTheme="majorEastAsia"/>
                <w:color w:val="000000" w:themeColor="text1"/>
                <w:kern w:val="2"/>
                <w:sz w:val="28"/>
                <w:szCs w:val="28"/>
                <w14:textFill>
                  <w14:solidFill>
                    <w14:schemeClr w14:val="tx1"/>
                  </w14:solidFill>
                </w14:textFill>
              </w:rPr>
            </w:pPr>
          </w:p>
        </w:tc>
        <w:tc>
          <w:tcPr>
            <w:tcW w:w="1160" w:type="pct"/>
            <w:tcBorders>
              <w:top w:val="single" w:color="auto" w:sz="4" w:space="0"/>
              <w:left w:val="nil"/>
              <w:bottom w:val="single" w:color="auto" w:sz="4" w:space="0"/>
              <w:right w:val="single" w:color="auto" w:sz="4" w:space="0"/>
            </w:tcBorders>
            <w:vAlign w:val="center"/>
          </w:tcPr>
          <w:p w14:paraId="1D564C2D">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小 计</w:t>
            </w:r>
          </w:p>
        </w:tc>
        <w:tc>
          <w:tcPr>
            <w:tcW w:w="498" w:type="pct"/>
            <w:tcBorders>
              <w:top w:val="single" w:color="auto" w:sz="4" w:space="0"/>
              <w:left w:val="nil"/>
              <w:bottom w:val="single" w:color="auto" w:sz="4" w:space="0"/>
              <w:right w:val="single" w:color="auto" w:sz="4" w:space="0"/>
            </w:tcBorders>
            <w:vAlign w:val="center"/>
          </w:tcPr>
          <w:p w14:paraId="2602666B">
            <w:pPr>
              <w:widowControl/>
              <w:rPr>
                <w:rFonts w:asciiTheme="majorEastAsia" w:hAnsiTheme="majorEastAsia"/>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74B2C2DB">
            <w:pPr>
              <w:widowControl/>
              <w:rPr>
                <w:rFonts w:asciiTheme="majorEastAsia" w:hAnsiTheme="majorEastAsia"/>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41058D6E">
            <w:pPr>
              <w:widowControl/>
              <w:rPr>
                <w:rFonts w:asciiTheme="majorEastAsia" w:hAnsiTheme="majorEastAsia"/>
                <w:color w:val="000000" w:themeColor="text1"/>
                <w:kern w:val="2"/>
                <w:sz w:val="28"/>
                <w:szCs w:val="28"/>
                <w14:textFill>
                  <w14:solidFill>
                    <w14:schemeClr w14:val="tx1"/>
                  </w14:solidFill>
                </w14:textFill>
              </w:rPr>
            </w:pPr>
          </w:p>
        </w:tc>
        <w:tc>
          <w:tcPr>
            <w:tcW w:w="937" w:type="pct"/>
            <w:vMerge w:val="continue"/>
            <w:tcBorders>
              <w:top w:val="nil"/>
              <w:left w:val="nil"/>
              <w:bottom w:val="single" w:color="auto" w:sz="4" w:space="0"/>
              <w:right w:val="single" w:color="auto" w:sz="4" w:space="0"/>
            </w:tcBorders>
            <w:vAlign w:val="center"/>
          </w:tcPr>
          <w:p w14:paraId="10965D43">
            <w:pPr>
              <w:widowControl/>
              <w:rPr>
                <w:rFonts w:asciiTheme="majorEastAsia" w:hAnsiTheme="majorEastAsia"/>
                <w:color w:val="000000" w:themeColor="text1"/>
                <w:sz w:val="28"/>
                <w:szCs w:val="28"/>
                <w14:textFill>
                  <w14:solidFill>
                    <w14:schemeClr w14:val="tx1"/>
                  </w14:solidFill>
                </w14:textFill>
              </w:rPr>
            </w:pPr>
          </w:p>
        </w:tc>
      </w:tr>
      <w:tr w14:paraId="7CB85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pct"/>
            <w:tcBorders>
              <w:top w:val="single" w:color="auto" w:sz="4" w:space="0"/>
              <w:left w:val="single" w:color="auto" w:sz="4" w:space="0"/>
              <w:bottom w:val="single" w:color="auto" w:sz="4" w:space="0"/>
              <w:right w:val="single" w:color="auto" w:sz="4" w:space="0"/>
            </w:tcBorders>
            <w:vAlign w:val="center"/>
          </w:tcPr>
          <w:p w14:paraId="143CA72E">
            <w:pPr>
              <w:spacing w:line="320" w:lineRule="exact"/>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2</w:t>
            </w:r>
          </w:p>
        </w:tc>
        <w:tc>
          <w:tcPr>
            <w:tcW w:w="1160" w:type="pct"/>
            <w:tcBorders>
              <w:top w:val="single" w:color="auto" w:sz="4" w:space="0"/>
              <w:left w:val="nil"/>
              <w:bottom w:val="single" w:color="auto" w:sz="4" w:space="0"/>
              <w:right w:val="single" w:color="auto" w:sz="4" w:space="0"/>
            </w:tcBorders>
            <w:vAlign w:val="center"/>
          </w:tcPr>
          <w:p w14:paraId="3F358078">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设备设施清单及使用费</w:t>
            </w:r>
          </w:p>
        </w:tc>
        <w:tc>
          <w:tcPr>
            <w:tcW w:w="498" w:type="pct"/>
            <w:tcBorders>
              <w:top w:val="single" w:color="auto" w:sz="4" w:space="0"/>
              <w:left w:val="nil"/>
              <w:bottom w:val="single" w:color="auto" w:sz="4" w:space="0"/>
              <w:right w:val="single" w:color="auto" w:sz="4" w:space="0"/>
            </w:tcBorders>
            <w:vAlign w:val="center"/>
          </w:tcPr>
          <w:p w14:paraId="26592B12">
            <w:pPr>
              <w:rPr>
                <w:rFonts w:asciiTheme="majorEastAsia" w:hAnsiTheme="majorEastAsia"/>
                <w:b/>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73E06879">
            <w:pPr>
              <w:rPr>
                <w:rFonts w:asciiTheme="majorEastAsia" w:hAnsiTheme="majorEastAsia"/>
                <w:b/>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21D7A9E2">
            <w:pPr>
              <w:rPr>
                <w:rFonts w:asciiTheme="majorEastAsia" w:hAnsiTheme="majorEastAsia"/>
                <w:color w:val="000000" w:themeColor="text1"/>
                <w:kern w:val="2"/>
                <w:sz w:val="28"/>
                <w:szCs w:val="28"/>
                <w14:textFill>
                  <w14:solidFill>
                    <w14:schemeClr w14:val="tx1"/>
                  </w14:solidFill>
                </w14:textFill>
              </w:rPr>
            </w:pPr>
          </w:p>
        </w:tc>
        <w:tc>
          <w:tcPr>
            <w:tcW w:w="937" w:type="pct"/>
            <w:tcBorders>
              <w:top w:val="single" w:color="auto" w:sz="4" w:space="0"/>
              <w:left w:val="nil"/>
              <w:bottom w:val="single" w:color="auto" w:sz="4" w:space="0"/>
              <w:right w:val="single" w:color="auto" w:sz="4" w:space="0"/>
            </w:tcBorders>
            <w:vAlign w:val="center"/>
          </w:tcPr>
          <w:p w14:paraId="4CACF22E">
            <w:pPr>
              <w:widowControl/>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由投标方采购、使用、维修和管理，具体请另以清单表示（洗地机不少于9台）</w:t>
            </w:r>
          </w:p>
        </w:tc>
      </w:tr>
      <w:tr w14:paraId="1CD40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pct"/>
            <w:tcBorders>
              <w:top w:val="single" w:color="auto" w:sz="4" w:space="0"/>
              <w:left w:val="single" w:color="auto" w:sz="4" w:space="0"/>
              <w:bottom w:val="single" w:color="auto" w:sz="4" w:space="0"/>
              <w:right w:val="single" w:color="auto" w:sz="4" w:space="0"/>
            </w:tcBorders>
            <w:vAlign w:val="center"/>
          </w:tcPr>
          <w:p w14:paraId="60ACAC67">
            <w:pPr>
              <w:spacing w:line="320" w:lineRule="exact"/>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3</w:t>
            </w:r>
          </w:p>
        </w:tc>
        <w:tc>
          <w:tcPr>
            <w:tcW w:w="1160" w:type="pct"/>
            <w:tcBorders>
              <w:top w:val="single" w:color="auto" w:sz="4" w:space="0"/>
              <w:left w:val="nil"/>
              <w:bottom w:val="single" w:color="auto" w:sz="4" w:space="0"/>
              <w:right w:val="single" w:color="auto" w:sz="4" w:space="0"/>
            </w:tcBorders>
            <w:vAlign w:val="center"/>
          </w:tcPr>
          <w:p w14:paraId="2458EA7E">
            <w:pPr>
              <w:spacing w:line="320" w:lineRule="exact"/>
              <w:rPr>
                <w:rFonts w:asciiTheme="majorEastAsia" w:hAnsiTheme="majorEastAsia"/>
                <w:color w:val="000000" w:themeColor="text1"/>
                <w:kern w:val="2"/>
                <w:sz w:val="28"/>
                <w:szCs w:val="28"/>
                <w:highlight w:val="yellow"/>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清洁用品、用具、耗材以及包干费用</w:t>
            </w:r>
          </w:p>
        </w:tc>
        <w:tc>
          <w:tcPr>
            <w:tcW w:w="498" w:type="pct"/>
            <w:tcBorders>
              <w:top w:val="single" w:color="auto" w:sz="4" w:space="0"/>
              <w:left w:val="nil"/>
              <w:bottom w:val="single" w:color="auto" w:sz="4" w:space="0"/>
              <w:right w:val="single" w:color="auto" w:sz="4" w:space="0"/>
            </w:tcBorders>
            <w:vAlign w:val="center"/>
          </w:tcPr>
          <w:p w14:paraId="3A396829">
            <w:pPr>
              <w:rPr>
                <w:rFonts w:asciiTheme="majorEastAsia" w:hAnsiTheme="majorEastAsia"/>
                <w:b/>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091593B1">
            <w:pPr>
              <w:rPr>
                <w:rFonts w:asciiTheme="majorEastAsia" w:hAnsiTheme="majorEastAsia"/>
                <w:b/>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699D96E0">
            <w:pPr>
              <w:rPr>
                <w:rFonts w:asciiTheme="majorEastAsia" w:hAnsiTheme="majorEastAsia"/>
                <w:color w:val="000000" w:themeColor="text1"/>
                <w:kern w:val="2"/>
                <w:sz w:val="28"/>
                <w:szCs w:val="28"/>
                <w14:textFill>
                  <w14:solidFill>
                    <w14:schemeClr w14:val="tx1"/>
                  </w14:solidFill>
                </w14:textFill>
              </w:rPr>
            </w:pPr>
          </w:p>
        </w:tc>
        <w:tc>
          <w:tcPr>
            <w:tcW w:w="937" w:type="pct"/>
            <w:tcBorders>
              <w:top w:val="single" w:color="auto" w:sz="4" w:space="0"/>
              <w:left w:val="nil"/>
              <w:bottom w:val="single" w:color="auto" w:sz="4" w:space="0"/>
              <w:right w:val="single" w:color="auto" w:sz="4" w:space="0"/>
            </w:tcBorders>
            <w:vAlign w:val="center"/>
          </w:tcPr>
          <w:p w14:paraId="71783527">
            <w:pPr>
              <w:widowControl/>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清洁用品用具、耗材、工人防护用品等费用（以清单表示）</w:t>
            </w:r>
          </w:p>
        </w:tc>
      </w:tr>
      <w:tr w14:paraId="2ACB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pct"/>
            <w:tcBorders>
              <w:top w:val="single" w:color="auto" w:sz="4" w:space="0"/>
              <w:left w:val="single" w:color="auto" w:sz="4" w:space="0"/>
              <w:bottom w:val="single" w:color="auto" w:sz="4" w:space="0"/>
              <w:right w:val="single" w:color="auto" w:sz="4" w:space="0"/>
            </w:tcBorders>
            <w:vAlign w:val="center"/>
          </w:tcPr>
          <w:p w14:paraId="41E6A00B">
            <w:pPr>
              <w:spacing w:line="320" w:lineRule="exact"/>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4</w:t>
            </w:r>
          </w:p>
        </w:tc>
        <w:tc>
          <w:tcPr>
            <w:tcW w:w="1160" w:type="pct"/>
            <w:tcBorders>
              <w:top w:val="single" w:color="auto" w:sz="4" w:space="0"/>
              <w:left w:val="nil"/>
              <w:bottom w:val="single" w:color="auto" w:sz="4" w:space="0"/>
              <w:right w:val="single" w:color="auto" w:sz="4" w:space="0"/>
            </w:tcBorders>
            <w:vAlign w:val="center"/>
          </w:tcPr>
          <w:p w14:paraId="44B0E76E">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公司管理费</w:t>
            </w:r>
          </w:p>
        </w:tc>
        <w:tc>
          <w:tcPr>
            <w:tcW w:w="498" w:type="pct"/>
            <w:tcBorders>
              <w:top w:val="single" w:color="auto" w:sz="4" w:space="0"/>
              <w:left w:val="nil"/>
              <w:bottom w:val="single" w:color="auto" w:sz="4" w:space="0"/>
              <w:right w:val="single" w:color="auto" w:sz="4" w:space="0"/>
            </w:tcBorders>
            <w:vAlign w:val="center"/>
          </w:tcPr>
          <w:p w14:paraId="72C6E19E">
            <w:pPr>
              <w:rPr>
                <w:rFonts w:asciiTheme="majorEastAsia" w:hAnsiTheme="majorEastAsia"/>
                <w:b/>
                <w:color w:val="000000" w:themeColor="text1"/>
                <w:kern w:val="2"/>
                <w:sz w:val="28"/>
                <w:szCs w:val="28"/>
                <w14:textFill>
                  <w14:solidFill>
                    <w14:schemeClr w14:val="tx1"/>
                  </w14:solidFill>
                </w14:textFill>
              </w:rPr>
            </w:pPr>
            <w:r>
              <w:rPr>
                <w:rFonts w:hint="eastAsia" w:asciiTheme="majorEastAsia" w:hAnsiTheme="majorEastAsia"/>
                <w:b/>
                <w:color w:val="000000" w:themeColor="text1"/>
                <w:sz w:val="28"/>
                <w:szCs w:val="28"/>
                <w14:textFill>
                  <w14:solidFill>
                    <w14:schemeClr w14:val="tx1"/>
                  </w14:solidFill>
                </w14:textFill>
              </w:rPr>
              <w:t>/</w:t>
            </w:r>
          </w:p>
        </w:tc>
        <w:tc>
          <w:tcPr>
            <w:tcW w:w="912" w:type="pct"/>
            <w:tcBorders>
              <w:top w:val="single" w:color="auto" w:sz="4" w:space="0"/>
              <w:left w:val="nil"/>
              <w:bottom w:val="single" w:color="auto" w:sz="4" w:space="0"/>
              <w:right w:val="single" w:color="auto" w:sz="4" w:space="0"/>
            </w:tcBorders>
            <w:vAlign w:val="center"/>
          </w:tcPr>
          <w:p w14:paraId="3574F6B3">
            <w:pPr>
              <w:rPr>
                <w:rFonts w:asciiTheme="majorEastAsia" w:hAnsiTheme="majorEastAsia"/>
                <w:b/>
                <w:color w:val="000000" w:themeColor="text1"/>
                <w:kern w:val="2"/>
                <w:sz w:val="28"/>
                <w:szCs w:val="28"/>
                <w14:textFill>
                  <w14:solidFill>
                    <w14:schemeClr w14:val="tx1"/>
                  </w14:solidFill>
                </w14:textFill>
              </w:rPr>
            </w:pPr>
            <w:r>
              <w:rPr>
                <w:rFonts w:hint="eastAsia" w:asciiTheme="majorEastAsia" w:hAnsiTheme="majorEastAsia"/>
                <w:b/>
                <w:color w:val="000000" w:themeColor="text1"/>
                <w:sz w:val="28"/>
                <w:szCs w:val="28"/>
                <w14:textFill>
                  <w14:solidFill>
                    <w14:schemeClr w14:val="tx1"/>
                  </w14:solidFill>
                </w14:textFill>
              </w:rPr>
              <w:t>/</w:t>
            </w:r>
          </w:p>
        </w:tc>
        <w:tc>
          <w:tcPr>
            <w:tcW w:w="995" w:type="pct"/>
            <w:tcBorders>
              <w:top w:val="single" w:color="auto" w:sz="4" w:space="0"/>
              <w:left w:val="nil"/>
              <w:bottom w:val="single" w:color="auto" w:sz="4" w:space="0"/>
              <w:right w:val="single" w:color="auto" w:sz="4" w:space="0"/>
            </w:tcBorders>
            <w:vAlign w:val="center"/>
          </w:tcPr>
          <w:p w14:paraId="7AC39345">
            <w:pPr>
              <w:rPr>
                <w:rFonts w:asciiTheme="majorEastAsia" w:hAnsiTheme="majorEastAsia"/>
                <w:color w:val="000000" w:themeColor="text1"/>
                <w:kern w:val="2"/>
                <w:sz w:val="28"/>
                <w:szCs w:val="28"/>
                <w14:textFill>
                  <w14:solidFill>
                    <w14:schemeClr w14:val="tx1"/>
                  </w14:solidFill>
                </w14:textFill>
              </w:rPr>
            </w:pPr>
          </w:p>
        </w:tc>
        <w:tc>
          <w:tcPr>
            <w:tcW w:w="937" w:type="pct"/>
            <w:tcBorders>
              <w:top w:val="single" w:color="auto" w:sz="4" w:space="0"/>
              <w:left w:val="nil"/>
              <w:bottom w:val="single" w:color="auto" w:sz="4" w:space="0"/>
              <w:right w:val="single" w:color="auto" w:sz="4" w:space="0"/>
            </w:tcBorders>
            <w:vAlign w:val="center"/>
          </w:tcPr>
          <w:p w14:paraId="2EA3B4AA">
            <w:pPr>
              <w:widowControl/>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按照     %记取</w:t>
            </w:r>
          </w:p>
        </w:tc>
      </w:tr>
      <w:tr w14:paraId="37011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pct"/>
            <w:tcBorders>
              <w:top w:val="single" w:color="auto" w:sz="4" w:space="0"/>
              <w:left w:val="single" w:color="auto" w:sz="4" w:space="0"/>
              <w:bottom w:val="single" w:color="auto" w:sz="4" w:space="0"/>
              <w:right w:val="single" w:color="auto" w:sz="4" w:space="0"/>
            </w:tcBorders>
            <w:vAlign w:val="center"/>
          </w:tcPr>
          <w:p w14:paraId="777AC946">
            <w:pPr>
              <w:spacing w:line="320" w:lineRule="exact"/>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5</w:t>
            </w:r>
          </w:p>
        </w:tc>
        <w:tc>
          <w:tcPr>
            <w:tcW w:w="1160" w:type="pct"/>
            <w:tcBorders>
              <w:top w:val="single" w:color="auto" w:sz="4" w:space="0"/>
              <w:left w:val="nil"/>
              <w:bottom w:val="single" w:color="auto" w:sz="4" w:space="0"/>
              <w:right w:val="single" w:color="auto" w:sz="4" w:space="0"/>
            </w:tcBorders>
            <w:vAlign w:val="center"/>
          </w:tcPr>
          <w:p w14:paraId="14FEFCF1">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公司税费</w:t>
            </w:r>
          </w:p>
        </w:tc>
        <w:tc>
          <w:tcPr>
            <w:tcW w:w="498" w:type="pct"/>
            <w:tcBorders>
              <w:top w:val="single" w:color="auto" w:sz="4" w:space="0"/>
              <w:left w:val="nil"/>
              <w:bottom w:val="single" w:color="auto" w:sz="4" w:space="0"/>
              <w:right w:val="single" w:color="auto" w:sz="4" w:space="0"/>
            </w:tcBorders>
            <w:vAlign w:val="center"/>
          </w:tcPr>
          <w:p w14:paraId="1F1512E4">
            <w:pPr>
              <w:rPr>
                <w:rFonts w:asciiTheme="majorEastAsia" w:hAnsiTheme="majorEastAsia"/>
                <w:b/>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3A1A5C57">
            <w:pPr>
              <w:rPr>
                <w:rFonts w:asciiTheme="majorEastAsia" w:hAnsiTheme="majorEastAsia"/>
                <w:b/>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39D0D8B3">
            <w:pPr>
              <w:rPr>
                <w:rFonts w:asciiTheme="majorEastAsia" w:hAnsiTheme="majorEastAsia"/>
                <w:color w:val="000000" w:themeColor="text1"/>
                <w:kern w:val="2"/>
                <w:sz w:val="28"/>
                <w:szCs w:val="28"/>
                <w14:textFill>
                  <w14:solidFill>
                    <w14:schemeClr w14:val="tx1"/>
                  </w14:solidFill>
                </w14:textFill>
              </w:rPr>
            </w:pPr>
          </w:p>
        </w:tc>
        <w:tc>
          <w:tcPr>
            <w:tcW w:w="937" w:type="pct"/>
            <w:tcBorders>
              <w:top w:val="single" w:color="auto" w:sz="4" w:space="0"/>
              <w:left w:val="nil"/>
              <w:bottom w:val="single" w:color="auto" w:sz="4" w:space="0"/>
              <w:right w:val="single" w:color="auto" w:sz="4" w:space="0"/>
            </w:tcBorders>
            <w:vAlign w:val="center"/>
          </w:tcPr>
          <w:p w14:paraId="66633BE5">
            <w:pPr>
              <w:widowControl/>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按照     %记取</w:t>
            </w:r>
          </w:p>
        </w:tc>
      </w:tr>
      <w:tr w14:paraId="2E945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498" w:type="pct"/>
            <w:tcBorders>
              <w:top w:val="single" w:color="auto" w:sz="4" w:space="0"/>
              <w:left w:val="single" w:color="auto" w:sz="4" w:space="0"/>
              <w:bottom w:val="single" w:color="auto" w:sz="4" w:space="0"/>
              <w:right w:val="single" w:color="auto" w:sz="4" w:space="0"/>
            </w:tcBorders>
            <w:vAlign w:val="center"/>
          </w:tcPr>
          <w:p w14:paraId="6628F486">
            <w:pPr>
              <w:spacing w:line="320" w:lineRule="exact"/>
              <w:jc w:val="center"/>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6</w:t>
            </w:r>
          </w:p>
        </w:tc>
        <w:tc>
          <w:tcPr>
            <w:tcW w:w="1160" w:type="pct"/>
            <w:tcBorders>
              <w:top w:val="single" w:color="auto" w:sz="4" w:space="0"/>
              <w:left w:val="nil"/>
              <w:bottom w:val="single" w:color="auto" w:sz="4" w:space="0"/>
              <w:right w:val="single" w:color="auto" w:sz="4" w:space="0"/>
            </w:tcBorders>
            <w:vAlign w:val="center"/>
          </w:tcPr>
          <w:p w14:paraId="16D0C2DF">
            <w:pPr>
              <w:spacing w:line="320" w:lineRule="exact"/>
              <w:rPr>
                <w:rFonts w:asciiTheme="majorEastAsia" w:hAnsiTheme="majorEastAsia"/>
                <w:color w:val="000000" w:themeColor="text1"/>
                <w:kern w:val="2"/>
                <w:sz w:val="28"/>
                <w:szCs w:val="28"/>
                <w14:textFill>
                  <w14:solidFill>
                    <w14:schemeClr w14:val="tx1"/>
                  </w14:solidFill>
                </w14:textFill>
              </w:rPr>
            </w:pPr>
            <w:r>
              <w:rPr>
                <w:rFonts w:hint="eastAsia" w:asciiTheme="majorEastAsia" w:hAnsiTheme="majorEastAsia"/>
                <w:color w:val="000000" w:themeColor="text1"/>
                <w:sz w:val="28"/>
                <w:szCs w:val="28"/>
                <w14:textFill>
                  <w14:solidFill>
                    <w14:schemeClr w14:val="tx1"/>
                  </w14:solidFill>
                </w14:textFill>
              </w:rPr>
              <w:t>各项费用总计</w:t>
            </w:r>
          </w:p>
        </w:tc>
        <w:tc>
          <w:tcPr>
            <w:tcW w:w="498" w:type="pct"/>
            <w:tcBorders>
              <w:top w:val="single" w:color="auto" w:sz="4" w:space="0"/>
              <w:left w:val="nil"/>
              <w:bottom w:val="single" w:color="auto" w:sz="4" w:space="0"/>
              <w:right w:val="single" w:color="auto" w:sz="4" w:space="0"/>
            </w:tcBorders>
            <w:vAlign w:val="center"/>
          </w:tcPr>
          <w:p w14:paraId="2F4D82D1">
            <w:pPr>
              <w:rPr>
                <w:rFonts w:asciiTheme="majorEastAsia" w:hAnsiTheme="majorEastAsia"/>
                <w:b/>
                <w:color w:val="000000" w:themeColor="text1"/>
                <w:kern w:val="2"/>
                <w:sz w:val="28"/>
                <w:szCs w:val="28"/>
                <w14:textFill>
                  <w14:solidFill>
                    <w14:schemeClr w14:val="tx1"/>
                  </w14:solidFill>
                </w14:textFill>
              </w:rPr>
            </w:pPr>
          </w:p>
        </w:tc>
        <w:tc>
          <w:tcPr>
            <w:tcW w:w="912" w:type="pct"/>
            <w:tcBorders>
              <w:top w:val="single" w:color="auto" w:sz="4" w:space="0"/>
              <w:left w:val="nil"/>
              <w:bottom w:val="single" w:color="auto" w:sz="4" w:space="0"/>
              <w:right w:val="single" w:color="auto" w:sz="4" w:space="0"/>
            </w:tcBorders>
            <w:vAlign w:val="center"/>
          </w:tcPr>
          <w:p w14:paraId="04F8591D">
            <w:pPr>
              <w:rPr>
                <w:rFonts w:asciiTheme="majorEastAsia" w:hAnsiTheme="majorEastAsia"/>
                <w:b/>
                <w:color w:val="000000" w:themeColor="text1"/>
                <w:kern w:val="2"/>
                <w:sz w:val="28"/>
                <w:szCs w:val="28"/>
                <w14:textFill>
                  <w14:solidFill>
                    <w14:schemeClr w14:val="tx1"/>
                  </w14:solidFill>
                </w14:textFill>
              </w:rPr>
            </w:pPr>
          </w:p>
        </w:tc>
        <w:tc>
          <w:tcPr>
            <w:tcW w:w="995" w:type="pct"/>
            <w:tcBorders>
              <w:top w:val="single" w:color="auto" w:sz="4" w:space="0"/>
              <w:left w:val="nil"/>
              <w:bottom w:val="single" w:color="auto" w:sz="4" w:space="0"/>
              <w:right w:val="single" w:color="auto" w:sz="4" w:space="0"/>
            </w:tcBorders>
            <w:vAlign w:val="center"/>
          </w:tcPr>
          <w:p w14:paraId="138420C8">
            <w:pPr>
              <w:rPr>
                <w:rFonts w:asciiTheme="majorEastAsia" w:hAnsiTheme="majorEastAsia"/>
                <w:color w:val="000000" w:themeColor="text1"/>
                <w:kern w:val="2"/>
                <w:sz w:val="28"/>
                <w:szCs w:val="28"/>
                <w14:textFill>
                  <w14:solidFill>
                    <w14:schemeClr w14:val="tx1"/>
                  </w14:solidFill>
                </w14:textFill>
              </w:rPr>
            </w:pPr>
          </w:p>
        </w:tc>
        <w:tc>
          <w:tcPr>
            <w:tcW w:w="937" w:type="pct"/>
            <w:tcBorders>
              <w:top w:val="single" w:color="auto" w:sz="4" w:space="0"/>
              <w:left w:val="nil"/>
              <w:bottom w:val="single" w:color="auto" w:sz="4" w:space="0"/>
              <w:right w:val="single" w:color="auto" w:sz="4" w:space="0"/>
            </w:tcBorders>
            <w:vAlign w:val="center"/>
          </w:tcPr>
          <w:p w14:paraId="4884D2E1">
            <w:pPr>
              <w:widowControl/>
              <w:rPr>
                <w:rFonts w:asciiTheme="majorEastAsia" w:hAnsiTheme="majorEastAsia"/>
                <w:color w:val="000000" w:themeColor="text1"/>
                <w:kern w:val="2"/>
                <w:sz w:val="28"/>
                <w:szCs w:val="28"/>
                <w14:textFill>
                  <w14:solidFill>
                    <w14:schemeClr w14:val="tx1"/>
                  </w14:solidFill>
                </w14:textFill>
              </w:rPr>
            </w:pPr>
          </w:p>
        </w:tc>
      </w:tr>
    </w:tbl>
    <w:p w14:paraId="48696B2A">
      <w:pPr>
        <w:spacing w:line="360" w:lineRule="auto"/>
        <w:ind w:firstLine="559" w:firstLineChars="199"/>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填表说明：</w:t>
      </w:r>
    </w:p>
    <w:p w14:paraId="1DC4FC7A">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1、人员岗位配置清单、清洁设备设施清单和清洁耗材清单及报价若为多页者，每页均由法定代表人或授权代表签字并盖投标人印章。</w:t>
      </w:r>
    </w:p>
    <w:p w14:paraId="19E410DB">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2、表中清洁工、电梯工等服务人员“包干人工费”包含如下内容：人员工资、奖金、福利、社会保险、加班费、服装费、节假日费、特殊岗位补贴费等全部费用，投标人在投标时列出报价的详细构成，且应满足绵阳市最低工资标准和有关社会保险缴纳标准等要求。</w:t>
      </w:r>
    </w:p>
    <w:p w14:paraId="34010427">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3.配置人数需填写实际总数。另需提供各楼层清洁工、护工、电梯工、中央运输、专项组、水电工岗位配置详细情况，即完整填写人员数量及构成。</w:t>
      </w:r>
    </w:p>
    <w:p w14:paraId="63A8B2BF">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4、设备设施清单及使用费填写内容（但不限）：如洗地机、风干机、打蜡机、抛光机、吸尘器、脱水机、高压冲地机等。（该费用应包含完成本项目所需的所有设备设施购置费、使用费和维修费、各类清洁工具及各类耗材费等，除垃圾桶以外的全部费用，医院不再另行支付其他费用。</w:t>
      </w:r>
    </w:p>
    <w:p w14:paraId="2D20A542">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5、清洁用品、用具、耗材以及包干费用清单填写内容（但不限）：如不锈钢清洁剂、洗衣粉、静电吸尘剂、全能清洁剂、肥皂、洁厕剂、去污粉、消杀剂、空气清新剂、厕香球、玻璃清洁剂、消毒剂、过氧化物类消毒剂、静电尘推、拖把头、水桶、胶手套、抛光垫、玻璃刮刀、厕刷、涂水器、抹布、长柄棕毛条帚、水靴、水管、钢丝球、鸡毛掸、各种医用垃圾袋、生活用垃圾袋、手套、脚套、帽子、口罩等等。</w:t>
      </w:r>
    </w:p>
    <w:p w14:paraId="2C4AF447">
      <w:pPr>
        <w:spacing w:line="360" w:lineRule="auto"/>
        <w:ind w:firstLine="557" w:firstLineChars="199"/>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6、以上所有的费用中应包含PVC地板和橡胶地板的常规打蜡与日常养护以及每年每处不少于2次保养打蜡的费用，投标人无须对该费用单独报价。</w:t>
      </w:r>
    </w:p>
    <w:p w14:paraId="1C577A9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E93AA5"/>
    <w:rsid w:val="36E9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2025-04-17T03:14:00Z</dcterms:created>
  <dc:creator>冯尔寅</dc:creator>
  <cp:lastModifiedBy>冯尔寅</cp:lastModifiedBy>
  <dcterms:modified xsi:type="dcterms:W3CDTF">2025-04-17T03:15:15Z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7DFD2C849C38414CA7512481AF891E42_11</vt:lpwstr>
  </property>
  <property fmtid="{D5CDD505-2E9C-101B-9397-08002B2CF9AE}" pid="4" name="KSOTemplateDocerSaveRecord">
    <vt:lpwstr>eyJoZGlkIjoiYzliMGVlMjc3NzQxMDY2OTBjOTc4YTZhN2Y0MjU3NmEifQ==</vt:lpwstr>
  </property>
</Properties>
</file>