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14:textFill>
            <w14:solidFill>
              <w14:schemeClr w14:val="tx1"/>
            </w14:solidFill>
          </w14:textFill>
        </w:rPr>
        <w:t>竞争性</w:t>
      </w:r>
      <w:r>
        <w:rPr>
          <w:rFonts w:hint="eastAsia" w:ascii="仿宋" w:hAnsi="仿宋" w:eastAsia="仿宋" w:cs="仿宋"/>
          <w:b/>
          <w:color w:val="000000" w:themeColor="text1"/>
          <w:sz w:val="112"/>
          <w:szCs w:val="112"/>
          <w:u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/>
          <w:color w:val="000000" w:themeColor="text1"/>
          <w:spacing w:val="-30"/>
          <w:sz w:val="112"/>
          <w:szCs w:val="112"/>
          <w:u w:val="none"/>
          <w14:textFill>
            <w14:solidFill>
              <w14:schemeClr w14:val="tx1"/>
            </w14:solidFill>
          </w14:textFill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MYZYYY竞磋（202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029</w:t>
      </w:r>
    </w:p>
    <w:p w14:paraId="6F7A7238">
      <w:pPr>
        <w:tabs>
          <w:tab w:val="left" w:pos="5433"/>
        </w:tabs>
        <w:spacing w:line="360" w:lineRule="auto"/>
        <w:ind w:firstLine="1807" w:firstLineChars="6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绵阳市中医医院便携式肺功能仪</w:t>
      </w:r>
    </w:p>
    <w:p w14:paraId="345E12AD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34485D">
      <w:pPr>
        <w:spacing w:line="360" w:lineRule="auto"/>
        <w:jc w:val="center"/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竞争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性磋商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根据医院工作需要，拟对以下项目进行竞争性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以下项目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项目概况</w:t>
      </w:r>
    </w:p>
    <w:tbl>
      <w:tblPr>
        <w:tblStyle w:val="9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24"/>
        <w:gridCol w:w="2093"/>
        <w:gridCol w:w="1245"/>
        <w:gridCol w:w="960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" w:type="dxa"/>
            <w:noWrap w:val="0"/>
            <w:vAlign w:val="center"/>
          </w:tcPr>
          <w:p w14:paraId="43A682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342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3" w:type="dxa"/>
            <w:noWrap w:val="0"/>
            <w:vAlign w:val="center"/>
          </w:tcPr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245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5F1C63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</w:tr>
      <w:tr w14:paraId="05C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63" w:type="dxa"/>
            <w:noWrap w:val="0"/>
            <w:vAlign w:val="center"/>
          </w:tcPr>
          <w:p w14:paraId="3A098A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</w:t>
            </w:r>
          </w:p>
        </w:tc>
        <w:tc>
          <w:tcPr>
            <w:tcW w:w="3424" w:type="dxa"/>
            <w:noWrap w:val="0"/>
            <w:vAlign w:val="center"/>
          </w:tcPr>
          <w:p w14:paraId="3DF5B0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便携式肺功能仪</w:t>
            </w:r>
          </w:p>
        </w:tc>
        <w:tc>
          <w:tcPr>
            <w:tcW w:w="2093" w:type="dxa"/>
            <w:noWrap w:val="0"/>
            <w:vAlign w:val="center"/>
          </w:tcPr>
          <w:p w14:paraId="2A39C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/台</w:t>
            </w:r>
          </w:p>
        </w:tc>
        <w:tc>
          <w:tcPr>
            <w:tcW w:w="1245" w:type="dxa"/>
            <w:noWrap w:val="0"/>
            <w:vAlign w:val="center"/>
          </w:tcPr>
          <w:p w14:paraId="57200B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960" w:type="dxa"/>
            <w:noWrap w:val="0"/>
            <w:vAlign w:val="center"/>
          </w:tcPr>
          <w:p w14:paraId="7E69CF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pacing w:val="-4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、采购方式：竞争性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磋商，在密封报价基础上进行一轮或多轮磋商。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、评审方法：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A9A718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文件获取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E41D31B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绵阳市中医医院便携式肺功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能仪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+XXX公司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。自行在公告附件中下载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B4EA76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.报名时间：202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日17:00（以接收邮件时间为准）。</w:t>
      </w:r>
      <w:bookmarkStart w:id="0" w:name="_GoBack"/>
      <w:bookmarkEnd w:id="0"/>
    </w:p>
    <w:p w14:paraId="112A807E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、提交投标文件截止时间、开标时间和地点</w:t>
      </w:r>
    </w:p>
    <w:p w14:paraId="6C09677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开标时间：202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14时30分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、联系方式</w:t>
      </w:r>
    </w:p>
    <w:p w14:paraId="4C8259F4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0816-2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625529 </w:t>
      </w:r>
    </w:p>
    <w:p w14:paraId="5C282613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项目咨询：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曾老师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A8EAB84">
      <w:pPr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参数要求、商务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要求</w:t>
      </w:r>
    </w:p>
    <w:p w14:paraId="6F2CA4C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1.检测参数</w:t>
      </w:r>
    </w:p>
    <w:p w14:paraId="3EA3604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1.1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 w14:paraId="5CE5359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2.技术性能/指标</w:t>
      </w:r>
    </w:p>
    <w:p w14:paraId="1377068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 测试模式：包含FVC(用力肺活量)、VC（慢肺活量）、MVV（最大分钟通气量）、支气管舒张试验。</w:t>
      </w:r>
    </w:p>
    <w:p w14:paraId="4B87987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▲2.2检测原理：超声检测原理。</w:t>
      </w:r>
    </w:p>
    <w:p w14:paraId="765D9E1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▲2.3 用力肺活量（FVC）：正常使用时，肺功能测定仪的测量范围在（0～10）L内 ，准确性：±2.5％或±0.050L（取其大者），重复性：≤2.5％或≤0.050L（取其大者）, 检测灵敏度：≤15mL/s。</w:t>
      </w:r>
    </w:p>
    <w:p w14:paraId="40B88B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▲2.4 用力呼气流量峰值（PEF）：正常使用时，肺功能测定仪的测量范围在（0-16L/s）内，准确性为±5.0％或±0.17L/s（取其大者）；重复性为≤5.0％或≤0.15L/s（取其大者）。</w:t>
      </w:r>
    </w:p>
    <w:p w14:paraId="0713C16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2.5 气流阻力：≤ 0.30kPa/(L/s)。</w:t>
      </w:r>
    </w:p>
    <w:p w14:paraId="7121547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2.6 频率响应：≤ 12% 或 ≤ 0.25 L/s（取较大值）。</w:t>
      </w:r>
    </w:p>
    <w:p w14:paraId="4A2F41E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▲2.7 呼吸频率：测量范围0-50次/分钟，准确性：±3.0%或±1次/分钟，正常使用时，测量范围在250 L/min内，准确性：± 10.0％ 或 ± 15 L/min（取较大值）</w:t>
      </w:r>
    </w:p>
    <w:p w14:paraId="2F71B3D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▲2.8 可实时连续检测呼气、吸气指标，实时显示动态曲线（流量容积曲线、时间容积曲线），FVC测量中支持专业模式、动画模式，包含多种肺功能预计值参数。</w:t>
      </w:r>
    </w:p>
    <w:p w14:paraId="1A19F9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▲2.9 具有超声检测管一体式集成过滤器。</w:t>
      </w:r>
    </w:p>
    <w:p w14:paraId="7943C48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2.10检查结束后能推荐可接受度高的测量曲线。依据ATS/ERS自动计算质控评级。</w:t>
      </w:r>
    </w:p>
    <w:p w14:paraId="3BF062CE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▲2.11具备自动测量环境参数(温度、湿度、大气压)，并进行BTPS自动修正功能，包含容量定标、线性验证，并形成质控报告。</w:t>
      </w:r>
    </w:p>
    <w:p w14:paraId="192239FE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▲2.12采用便携式设计，可用于床旁使用；自带语音提示功能，引导受试者规范操作，方便掌握检测动作要领。</w:t>
      </w:r>
    </w:p>
    <w:p w14:paraId="1693BB5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▲2.13集成扫码读取功能。</w:t>
      </w:r>
    </w:p>
    <w:p w14:paraId="0F552C5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▲2.14自带热敏打印功能，同时支持多种打印方式，包括USB连接电脑、WIFI直连、云服务打印等。</w:t>
      </w:r>
    </w:p>
    <w:p w14:paraId="085A40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2.15具有检测结果统计功能，结果通过报告和表格形式导出。</w:t>
      </w:r>
    </w:p>
    <w:p w14:paraId="5FFBC36F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2.16集成WiFi无线传输功能，能与医院HIS系统连接，连接费用由供应商承担；提供账号及密码管理，基本信息配置，版本升级、预计值选择等服务。</w:t>
      </w:r>
    </w:p>
    <w:p w14:paraId="0CBB7DB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2.17具有CAT、mMRC、COPD-SQ等问卷配置。</w:t>
      </w:r>
    </w:p>
    <w:p w14:paraId="6705703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带“▲”参数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作为佐证（至少包含其中之一）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，不提供视为不响应。</w:t>
      </w: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交货时间：签订合同后30日内。</w:t>
      </w:r>
    </w:p>
    <w:p w14:paraId="582F3067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（二）支付方式：设备验收合格，入库完成后一个月支付合同金额60%，半年支付合同金额30%，一年支付合同金额60%。</w:t>
      </w:r>
    </w:p>
    <w:p w14:paraId="5B35D7C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（三）质量保修范围和保修期：质保期不少于5年，质保期外终身维护。质保期以通过项目最终验收的验收报告签字日开始计算。其余按供应商承诺的内容执行。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售后服务响应及故障处理时限：保修期内及保修期外，供应商或厂家在国内应有24小时电话维修响应，接到电话30分钟内响应，8小时内到达现场，若24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45D386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3.设备出厂日期距到货日期不超过3个月。</w:t>
      </w:r>
    </w:p>
    <w:p w14:paraId="4290A36C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4.签订合同之前，拟中标供应商应提供全套证明文件包含但不限于营业执照、医疗器械（生产/经营）企业许可证/备案凭证、生产产品登记证、医疗器械产品注册证/备案信息、投标产品全套授权书等。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供应商应全部满足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9578166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03CA10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B99B9F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FF1D5E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F5E89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6D25B3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5"/>
        <w:gridCol w:w="4885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投标人资格资质性要求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562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437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62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和健全的财务会计制度</w:t>
            </w:r>
          </w:p>
        </w:tc>
        <w:tc>
          <w:tcPr>
            <w:tcW w:w="2437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562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</w:t>
            </w:r>
          </w:p>
        </w:tc>
        <w:tc>
          <w:tcPr>
            <w:tcW w:w="2437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具有依法缴纳税收和社会保障资金的良好记录</w:t>
            </w:r>
          </w:p>
        </w:tc>
        <w:tc>
          <w:tcPr>
            <w:tcW w:w="2437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562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参加本次采购活动前三年内，在经营活动中没有重大违法记录</w:t>
            </w:r>
          </w:p>
        </w:tc>
        <w:tc>
          <w:tcPr>
            <w:tcW w:w="2437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562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产品属于医疗器械的，供应商须符合《医疗器械监督管理条例》要求 </w:t>
            </w:r>
          </w:p>
        </w:tc>
        <w:tc>
          <w:tcPr>
            <w:tcW w:w="2437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562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437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9AEF807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385BDAD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A77CFE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060"/>
        <w:gridCol w:w="1950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2780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54分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完全满足磋商文件技术参数要求得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（以最小项）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。其中“▲”条款为重要参数(共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，有负偏离的扣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项)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注:“带“▲”参数提供所投产品的产品说明书、产品彩页、检测报告等技术文件作为佐证（至少包含其中之一），不提供视为不响应。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pStyle w:val="14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分，共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件加盖公章。</w:t>
            </w:r>
          </w:p>
        </w:tc>
      </w:tr>
    </w:tbl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BAB41DC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B40061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87B4463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61628A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8AC525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B4A5B3C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A89618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D5E305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57714D4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U盘，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加盖公司鲜章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8449457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投标项目编号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投标项目名称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文件首页编制目录及页码一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览表</w:t>
      </w:r>
    </w:p>
    <w:p w14:paraId="5D8DEC9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3546F8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860ED20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9F7121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215D9DD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（姓名）本人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名称）的法定代表人，现委托（姓名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附法定代表人和委托代理人身份证复印件。</w:t>
      </w:r>
    </w:p>
    <w:p w14:paraId="6F70A922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F5A41D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5BDDAAA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投标产品品牌、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A32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2F29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72E87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731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592C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ABA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B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7E8E3A">
      <w:pPr>
        <w:adjustRightInd w:val="0"/>
        <w:spacing w:line="360" w:lineRule="auto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2AED4557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5D13964">
      <w:pP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商务要求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供应商应如实提供资料，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虚假，采购人有权取消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投标或</w:t>
      </w:r>
      <w:r>
        <w:rPr>
          <w:rFonts w:hint="eastAsia" w:ascii="仿宋" w:hAnsi="仿宋" w:eastAsia="仿宋" w:cs="仿宋"/>
          <w:bCs/>
          <w:color w:val="000000" w:themeColor="text1"/>
          <w:spacing w:val="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供应商认为其他需要提供的资料和文件</w:t>
      </w:r>
    </w:p>
    <w:p w14:paraId="5B9946B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11C550F1"/>
    <w:rsid w:val="219F0EFF"/>
    <w:rsid w:val="24E70C8C"/>
    <w:rsid w:val="262D7141"/>
    <w:rsid w:val="271F2849"/>
    <w:rsid w:val="287264F5"/>
    <w:rsid w:val="2D777EB6"/>
    <w:rsid w:val="330F232A"/>
    <w:rsid w:val="34D05475"/>
    <w:rsid w:val="38D03CEA"/>
    <w:rsid w:val="39954B62"/>
    <w:rsid w:val="3CB76B4D"/>
    <w:rsid w:val="3F4D6826"/>
    <w:rsid w:val="40AB334D"/>
    <w:rsid w:val="42043D9A"/>
    <w:rsid w:val="454C4C9E"/>
    <w:rsid w:val="45B46D43"/>
    <w:rsid w:val="465B5688"/>
    <w:rsid w:val="4D530084"/>
    <w:rsid w:val="4F8E2446"/>
    <w:rsid w:val="50487AB0"/>
    <w:rsid w:val="508C716A"/>
    <w:rsid w:val="530C1562"/>
    <w:rsid w:val="538C05FC"/>
    <w:rsid w:val="589D0BB5"/>
    <w:rsid w:val="636D5D54"/>
    <w:rsid w:val="64082E56"/>
    <w:rsid w:val="66CF63DE"/>
    <w:rsid w:val="67B22860"/>
    <w:rsid w:val="70E707C8"/>
    <w:rsid w:val="75CA31F4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3739</Words>
  <Characters>4199</Characters>
  <Lines>0</Lines>
  <Paragraphs>0</Paragraphs>
  <TotalTime>0</TotalTime>
  <ScaleCrop>false</ScaleCrop>
  <LinksUpToDate>false</LinksUpToDate>
  <CharactersWithSpaces>4285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2025-11-10T01:32:00Z</cp:lastPrinted>
  <dcterms:modified xsi:type="dcterms:W3CDTF">2025-11-19T07:53:10Z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